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bCs/>
          <w:sz w:val="36"/>
          <w:szCs w:val="36"/>
        </w:rPr>
      </w:pPr>
      <w:bookmarkStart w:id="1" w:name="_GoBack"/>
      <w:bookmarkEnd w:id="1"/>
      <w:r>
        <w:rPr>
          <w:rFonts w:hint="eastAsia" w:asciiTheme="minorEastAsia" w:hAnsiTheme="minorEastAsia"/>
          <w:b/>
          <w:bCs/>
          <w:sz w:val="36"/>
          <w:szCs w:val="36"/>
        </w:rPr>
        <w:t>海南省工业学校</w:t>
      </w:r>
    </w:p>
    <w:p>
      <w:pPr>
        <w:spacing w:line="360" w:lineRule="auto"/>
        <w:jc w:val="center"/>
        <w:rPr>
          <w:rFonts w:asciiTheme="minorEastAsia" w:hAnsiTheme="minorEastAsia"/>
          <w:b/>
          <w:bCs/>
          <w:sz w:val="36"/>
          <w:szCs w:val="36"/>
        </w:rPr>
      </w:pPr>
      <w:r>
        <w:rPr>
          <w:rFonts w:hint="eastAsia" w:asciiTheme="minorEastAsia" w:hAnsiTheme="minorEastAsia"/>
          <w:b/>
          <w:bCs/>
          <w:sz w:val="36"/>
          <w:szCs w:val="36"/>
        </w:rPr>
        <w:t>2</w:t>
      </w:r>
      <w:r>
        <w:rPr>
          <w:rFonts w:asciiTheme="minorEastAsia" w:hAnsiTheme="minorEastAsia"/>
          <w:b/>
          <w:bCs/>
          <w:sz w:val="36"/>
          <w:szCs w:val="36"/>
        </w:rPr>
        <w:t>02</w:t>
      </w:r>
      <w:r>
        <w:rPr>
          <w:rFonts w:hint="eastAsia" w:asciiTheme="minorEastAsia" w:hAnsiTheme="minorEastAsia"/>
          <w:b/>
          <w:bCs/>
          <w:sz w:val="36"/>
          <w:szCs w:val="36"/>
          <w:lang w:val="en-US" w:eastAsia="zh-CN"/>
        </w:rPr>
        <w:t>2</w:t>
      </w:r>
      <w:r>
        <w:rPr>
          <w:rFonts w:hint="eastAsia" w:asciiTheme="minorEastAsia" w:hAnsiTheme="minorEastAsia"/>
          <w:b/>
          <w:bCs/>
          <w:sz w:val="36"/>
          <w:szCs w:val="36"/>
        </w:rPr>
        <w:t>级物流服务与</w:t>
      </w:r>
      <w:r>
        <w:rPr>
          <w:rFonts w:asciiTheme="minorEastAsia" w:hAnsiTheme="minorEastAsia"/>
          <w:b/>
          <w:bCs/>
          <w:sz w:val="36"/>
          <w:szCs w:val="36"/>
        </w:rPr>
        <w:t>管理专业人才培养方案</w:t>
      </w:r>
    </w:p>
    <w:p>
      <w:pPr>
        <w:spacing w:line="360" w:lineRule="auto"/>
        <w:rPr>
          <w:rFonts w:asciiTheme="minorEastAsia" w:hAnsiTheme="minorEastAsia"/>
          <w:b/>
          <w:sz w:val="24"/>
          <w:szCs w:val="24"/>
        </w:rPr>
      </w:pPr>
      <w:r>
        <w:rPr>
          <w:rFonts w:hint="eastAsia" w:asciiTheme="minorEastAsia" w:hAnsiTheme="minorEastAsia"/>
          <w:b/>
          <w:sz w:val="24"/>
          <w:szCs w:val="24"/>
        </w:rPr>
        <w:t>一、专业名称及代码</w:t>
      </w:r>
    </w:p>
    <w:p>
      <w:pPr>
        <w:spacing w:line="360" w:lineRule="auto"/>
        <w:ind w:firstLine="480" w:firstLineChars="200"/>
        <w:rPr>
          <w:rFonts w:asciiTheme="minorEastAsia" w:hAnsiTheme="minorEastAsia"/>
          <w:sz w:val="24"/>
          <w:szCs w:val="24"/>
        </w:rPr>
      </w:pPr>
      <w:bookmarkStart w:id="0" w:name="_Hlk83398190"/>
      <w:r>
        <w:rPr>
          <w:rFonts w:hint="eastAsia" w:asciiTheme="minorEastAsia" w:hAnsiTheme="minorEastAsia"/>
          <w:sz w:val="24"/>
          <w:szCs w:val="24"/>
        </w:rPr>
        <w:t>物流服务与管理（</w:t>
      </w:r>
      <w:r>
        <w:rPr>
          <w:rFonts w:cs="仿宋_GB2312" w:asciiTheme="minorEastAsia" w:hAnsiTheme="minorEastAsia"/>
          <w:color w:val="000000"/>
          <w:kern w:val="0"/>
          <w:sz w:val="24"/>
          <w:szCs w:val="24"/>
          <w:lang w:bidi="ar"/>
        </w:rPr>
        <w:t>730801</w:t>
      </w:r>
      <w:r>
        <w:rPr>
          <w:rFonts w:hint="eastAsia" w:asciiTheme="minorEastAsia" w:hAnsiTheme="minorEastAsia"/>
          <w:sz w:val="24"/>
          <w:szCs w:val="24"/>
        </w:rPr>
        <w:t>）。</w:t>
      </w:r>
    </w:p>
    <w:p>
      <w:pPr>
        <w:spacing w:line="360" w:lineRule="auto"/>
        <w:rPr>
          <w:rFonts w:asciiTheme="minorEastAsia" w:hAnsiTheme="minorEastAsia"/>
          <w:b/>
          <w:sz w:val="24"/>
          <w:szCs w:val="24"/>
        </w:rPr>
      </w:pPr>
      <w:r>
        <w:rPr>
          <w:rFonts w:hint="eastAsia" w:asciiTheme="minorEastAsia" w:hAnsiTheme="minorEastAsia"/>
          <w:b/>
          <w:sz w:val="24"/>
          <w:szCs w:val="24"/>
        </w:rPr>
        <w:t>二、入学要求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初中毕业或具有同等学历。</w:t>
      </w:r>
    </w:p>
    <w:p>
      <w:pPr>
        <w:spacing w:line="360" w:lineRule="auto"/>
        <w:rPr>
          <w:rFonts w:asciiTheme="minorEastAsia" w:hAnsiTheme="minorEastAsia"/>
          <w:b/>
          <w:sz w:val="24"/>
          <w:szCs w:val="24"/>
        </w:rPr>
      </w:pPr>
      <w:r>
        <w:rPr>
          <w:rFonts w:hint="eastAsia" w:asciiTheme="minorEastAsia" w:hAnsiTheme="minorEastAsia"/>
          <w:b/>
          <w:sz w:val="24"/>
          <w:szCs w:val="24"/>
        </w:rPr>
        <w:t>三、基本学制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3年</w:t>
      </w:r>
    </w:p>
    <w:bookmarkEnd w:id="0"/>
    <w:p>
      <w:pPr>
        <w:spacing w:line="360" w:lineRule="auto"/>
        <w:rPr>
          <w:rFonts w:asciiTheme="minorEastAsia" w:hAnsiTheme="minorEastAsia"/>
          <w:b/>
          <w:bCs/>
          <w:sz w:val="24"/>
          <w:szCs w:val="24"/>
        </w:rPr>
      </w:pPr>
      <w:r>
        <w:rPr>
          <w:rFonts w:hint="eastAsia" w:asciiTheme="minorEastAsia" w:hAnsiTheme="minorEastAsia"/>
          <w:b/>
          <w:bCs/>
          <w:sz w:val="24"/>
          <w:szCs w:val="24"/>
        </w:rPr>
        <w:t>四、</w:t>
      </w:r>
      <w:r>
        <w:rPr>
          <w:rFonts w:asciiTheme="minorEastAsia" w:hAnsiTheme="minorEastAsia"/>
          <w:b/>
          <w:bCs/>
          <w:sz w:val="24"/>
          <w:szCs w:val="24"/>
        </w:rPr>
        <w:t>职业面向</w:t>
      </w:r>
    </w:p>
    <w:tbl>
      <w:tblPr>
        <w:tblStyle w:val="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255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00" w:lineRule="auto"/>
              <w:rPr>
                <w:rFonts w:asciiTheme="minorEastAsia" w:hAnsiTheme="minorEastAsia"/>
                <w:b/>
                <w:sz w:val="24"/>
                <w:szCs w:val="24"/>
              </w:rPr>
            </w:pPr>
            <w:r>
              <w:rPr>
                <w:rFonts w:hint="eastAsia" w:asciiTheme="minorEastAsia" w:hAnsiTheme="minorEastAsia"/>
                <w:b/>
                <w:sz w:val="24"/>
                <w:szCs w:val="24"/>
              </w:rPr>
              <w:t>序号</w:t>
            </w:r>
          </w:p>
        </w:tc>
        <w:tc>
          <w:tcPr>
            <w:tcW w:w="1276" w:type="dxa"/>
            <w:vAlign w:val="center"/>
          </w:tcPr>
          <w:p>
            <w:pPr>
              <w:spacing w:line="300" w:lineRule="auto"/>
              <w:rPr>
                <w:rFonts w:asciiTheme="minorEastAsia" w:hAnsiTheme="minorEastAsia"/>
                <w:b/>
                <w:sz w:val="24"/>
                <w:szCs w:val="24"/>
              </w:rPr>
            </w:pPr>
            <w:r>
              <w:rPr>
                <w:rFonts w:hint="eastAsia" w:asciiTheme="minorEastAsia" w:hAnsiTheme="minorEastAsia"/>
                <w:b/>
                <w:sz w:val="24"/>
                <w:szCs w:val="24"/>
              </w:rPr>
              <w:t>相关工作</w:t>
            </w:r>
          </w:p>
          <w:p>
            <w:pPr>
              <w:spacing w:line="300" w:lineRule="auto"/>
              <w:rPr>
                <w:rFonts w:asciiTheme="minorEastAsia" w:hAnsiTheme="minorEastAsia"/>
                <w:b/>
                <w:sz w:val="24"/>
                <w:szCs w:val="24"/>
              </w:rPr>
            </w:pPr>
            <w:r>
              <w:rPr>
                <w:rFonts w:hint="eastAsia" w:asciiTheme="minorEastAsia" w:hAnsiTheme="minorEastAsia"/>
                <w:b/>
                <w:sz w:val="24"/>
                <w:szCs w:val="24"/>
              </w:rPr>
              <w:t>岗位</w:t>
            </w:r>
          </w:p>
        </w:tc>
        <w:tc>
          <w:tcPr>
            <w:tcW w:w="2551" w:type="dxa"/>
            <w:vAlign w:val="center"/>
          </w:tcPr>
          <w:p>
            <w:pPr>
              <w:spacing w:line="300" w:lineRule="auto"/>
              <w:rPr>
                <w:rFonts w:asciiTheme="minorEastAsia" w:hAnsiTheme="minorEastAsia"/>
                <w:b/>
                <w:sz w:val="24"/>
                <w:szCs w:val="24"/>
              </w:rPr>
            </w:pPr>
            <w:r>
              <w:rPr>
                <w:rFonts w:hint="eastAsia" w:asciiTheme="minorEastAsia" w:hAnsiTheme="minorEastAsia"/>
                <w:b/>
                <w:sz w:val="24"/>
                <w:szCs w:val="24"/>
              </w:rPr>
              <w:t>岗位描述</w:t>
            </w:r>
          </w:p>
        </w:tc>
        <w:tc>
          <w:tcPr>
            <w:tcW w:w="5103" w:type="dxa"/>
            <w:vAlign w:val="center"/>
          </w:tcPr>
          <w:p>
            <w:pPr>
              <w:spacing w:line="300" w:lineRule="auto"/>
              <w:rPr>
                <w:rFonts w:asciiTheme="minorEastAsia" w:hAnsiTheme="minorEastAsia"/>
                <w:b/>
                <w:sz w:val="24"/>
                <w:szCs w:val="24"/>
              </w:rPr>
            </w:pPr>
            <w:r>
              <w:rPr>
                <w:rFonts w:hint="eastAsia" w:asciiTheme="minorEastAsia" w:hAnsiTheme="minorEastAsia"/>
                <w:b/>
                <w:sz w:val="24"/>
                <w:szCs w:val="24"/>
              </w:rPr>
              <w:t>职业能力要求及素质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Theme="minorEastAsia" w:hAnsiTheme="minorEastAsia"/>
                <w:bCs/>
                <w:sz w:val="24"/>
                <w:szCs w:val="24"/>
              </w:rPr>
            </w:pPr>
            <w:r>
              <w:rPr>
                <w:rFonts w:hint="eastAsia" w:asciiTheme="minorEastAsia" w:hAnsiTheme="minorEastAsia"/>
                <w:bCs/>
                <w:sz w:val="24"/>
                <w:szCs w:val="24"/>
              </w:rPr>
              <w:t>1</w:t>
            </w:r>
          </w:p>
        </w:tc>
        <w:tc>
          <w:tcPr>
            <w:tcW w:w="1276" w:type="dxa"/>
          </w:tcPr>
          <w:p>
            <w:pPr>
              <w:spacing w:line="300" w:lineRule="auto"/>
              <w:rPr>
                <w:rFonts w:asciiTheme="minorEastAsia" w:hAnsiTheme="minorEastAsia"/>
                <w:bCs/>
                <w:sz w:val="24"/>
                <w:szCs w:val="24"/>
              </w:rPr>
            </w:pPr>
            <w:r>
              <w:rPr>
                <w:rFonts w:hint="eastAsia" w:asciiTheme="minorEastAsia" w:hAnsiTheme="minorEastAsia"/>
                <w:bCs/>
                <w:sz w:val="24"/>
                <w:szCs w:val="24"/>
              </w:rPr>
              <w:t>物流业务员</w:t>
            </w:r>
          </w:p>
        </w:tc>
        <w:tc>
          <w:tcPr>
            <w:tcW w:w="2551" w:type="dxa"/>
          </w:tcPr>
          <w:p>
            <w:pPr>
              <w:rPr>
                <w:rFonts w:asciiTheme="minorEastAsia" w:hAnsiTheme="minorEastAsia"/>
                <w:bCs/>
                <w:sz w:val="24"/>
                <w:szCs w:val="24"/>
              </w:rPr>
            </w:pPr>
            <w:r>
              <w:rPr>
                <w:rFonts w:hint="eastAsia" w:asciiTheme="minorEastAsia" w:hAnsiTheme="minorEastAsia"/>
                <w:bCs/>
                <w:sz w:val="24"/>
                <w:szCs w:val="24"/>
              </w:rPr>
              <w:t>发掘客户，与客户建立沟通渠道，针对客户需求进行方案设计和成本核算，与客户进行沟通谈判，签订物流服务合同。</w:t>
            </w:r>
          </w:p>
        </w:tc>
        <w:tc>
          <w:tcPr>
            <w:tcW w:w="5103" w:type="dxa"/>
          </w:tcPr>
          <w:p>
            <w:pPr>
              <w:spacing w:line="300" w:lineRule="auto"/>
              <w:rPr>
                <w:rFonts w:asciiTheme="minorEastAsia" w:hAnsiTheme="minorEastAsia"/>
                <w:bCs/>
                <w:sz w:val="24"/>
                <w:szCs w:val="24"/>
              </w:rPr>
            </w:pPr>
            <w:r>
              <w:rPr>
                <w:rFonts w:hint="eastAsia" w:asciiTheme="minorEastAsia" w:hAnsiTheme="minorEastAsia"/>
                <w:bCs/>
                <w:sz w:val="24"/>
                <w:szCs w:val="24"/>
              </w:rPr>
              <w:t>1-1 熟悉公司的业务；</w:t>
            </w:r>
          </w:p>
          <w:p>
            <w:pPr>
              <w:spacing w:line="300" w:lineRule="auto"/>
              <w:rPr>
                <w:rFonts w:asciiTheme="minorEastAsia" w:hAnsiTheme="minorEastAsia"/>
                <w:bCs/>
                <w:sz w:val="24"/>
                <w:szCs w:val="24"/>
              </w:rPr>
            </w:pPr>
            <w:r>
              <w:rPr>
                <w:rFonts w:hint="eastAsia" w:asciiTheme="minorEastAsia" w:hAnsiTheme="minorEastAsia"/>
                <w:bCs/>
                <w:sz w:val="24"/>
                <w:szCs w:val="24"/>
              </w:rPr>
              <w:t>1-2 熟练掌握物流专业知识，有物流案例分析能力；</w:t>
            </w:r>
          </w:p>
          <w:p>
            <w:pPr>
              <w:spacing w:line="300" w:lineRule="auto"/>
              <w:rPr>
                <w:rFonts w:asciiTheme="minorEastAsia" w:hAnsiTheme="minorEastAsia"/>
                <w:bCs/>
                <w:sz w:val="24"/>
                <w:szCs w:val="24"/>
              </w:rPr>
            </w:pPr>
            <w:r>
              <w:rPr>
                <w:rFonts w:hint="eastAsia" w:asciiTheme="minorEastAsia" w:hAnsiTheme="minorEastAsia"/>
                <w:bCs/>
                <w:sz w:val="24"/>
                <w:szCs w:val="24"/>
              </w:rPr>
              <w:t>1-3 具有项目管理和物流方案设计能力；</w:t>
            </w:r>
          </w:p>
          <w:p>
            <w:pPr>
              <w:spacing w:line="300" w:lineRule="auto"/>
              <w:rPr>
                <w:rFonts w:asciiTheme="minorEastAsia" w:hAnsiTheme="minorEastAsia"/>
                <w:bCs/>
                <w:sz w:val="24"/>
                <w:szCs w:val="24"/>
              </w:rPr>
            </w:pPr>
            <w:r>
              <w:rPr>
                <w:rFonts w:hint="eastAsia" w:asciiTheme="minorEastAsia" w:hAnsiTheme="minorEastAsia"/>
                <w:bCs/>
                <w:sz w:val="24"/>
                <w:szCs w:val="24"/>
              </w:rPr>
              <w:t>1-4 懂财务知识，能够进行成本核算；</w:t>
            </w:r>
          </w:p>
          <w:p>
            <w:pPr>
              <w:spacing w:line="300" w:lineRule="auto"/>
              <w:rPr>
                <w:rFonts w:asciiTheme="minorEastAsia" w:hAnsiTheme="minorEastAsia"/>
                <w:bCs/>
                <w:sz w:val="24"/>
                <w:szCs w:val="24"/>
              </w:rPr>
            </w:pPr>
            <w:r>
              <w:rPr>
                <w:rFonts w:hint="eastAsia" w:asciiTheme="minorEastAsia" w:hAnsiTheme="minorEastAsia"/>
                <w:bCs/>
                <w:sz w:val="24"/>
                <w:szCs w:val="24"/>
              </w:rPr>
              <w:t>1-5 懂经济法律知识，能利用合同条款保护公司的利益；</w:t>
            </w:r>
          </w:p>
          <w:p>
            <w:pPr>
              <w:spacing w:line="300" w:lineRule="auto"/>
              <w:rPr>
                <w:rFonts w:asciiTheme="minorEastAsia" w:hAnsiTheme="minorEastAsia"/>
                <w:bCs/>
                <w:sz w:val="24"/>
                <w:szCs w:val="24"/>
              </w:rPr>
            </w:pPr>
            <w:r>
              <w:rPr>
                <w:rFonts w:hint="eastAsia" w:asciiTheme="minorEastAsia" w:hAnsiTheme="minorEastAsia"/>
                <w:bCs/>
                <w:sz w:val="24"/>
                <w:szCs w:val="24"/>
              </w:rPr>
              <w:t>1-6 具有良好的语言表达能力。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Theme="minorEastAsia" w:hAnsiTheme="minorEastAsia"/>
                <w:bCs/>
                <w:sz w:val="24"/>
                <w:szCs w:val="24"/>
              </w:rPr>
            </w:pPr>
            <w:r>
              <w:rPr>
                <w:rFonts w:hint="eastAsia" w:asciiTheme="minorEastAsia" w:hAnsiTheme="minorEastAsia"/>
                <w:bCs/>
                <w:sz w:val="24"/>
                <w:szCs w:val="24"/>
              </w:rPr>
              <w:t>2</w:t>
            </w:r>
          </w:p>
        </w:tc>
        <w:tc>
          <w:tcPr>
            <w:tcW w:w="1276" w:type="dxa"/>
          </w:tcPr>
          <w:p>
            <w:pPr>
              <w:spacing w:line="300" w:lineRule="auto"/>
              <w:rPr>
                <w:rFonts w:asciiTheme="minorEastAsia" w:hAnsiTheme="minorEastAsia"/>
                <w:bCs/>
                <w:sz w:val="24"/>
                <w:szCs w:val="24"/>
              </w:rPr>
            </w:pPr>
            <w:r>
              <w:rPr>
                <w:rFonts w:hint="eastAsia" w:asciiTheme="minorEastAsia" w:hAnsiTheme="minorEastAsia"/>
                <w:bCs/>
                <w:sz w:val="24"/>
                <w:szCs w:val="24"/>
              </w:rPr>
              <w:t>仓管员</w:t>
            </w:r>
          </w:p>
        </w:tc>
        <w:tc>
          <w:tcPr>
            <w:tcW w:w="2551" w:type="dxa"/>
          </w:tcPr>
          <w:p>
            <w:pPr>
              <w:spacing w:line="300" w:lineRule="auto"/>
              <w:rPr>
                <w:rFonts w:asciiTheme="minorEastAsia" w:hAnsiTheme="minorEastAsia"/>
                <w:bCs/>
                <w:sz w:val="24"/>
                <w:szCs w:val="24"/>
              </w:rPr>
            </w:pPr>
            <w:r>
              <w:rPr>
                <w:rFonts w:hint="eastAsia" w:asciiTheme="minorEastAsia" w:hAnsiTheme="minorEastAsia"/>
                <w:bCs/>
                <w:sz w:val="24"/>
                <w:szCs w:val="24"/>
              </w:rPr>
              <w:t>商品接运前的准备，针对商品的特性进行装卸方案的规划设计，进货入库作业，保管作业，发货作业和盘点作业。</w:t>
            </w:r>
          </w:p>
        </w:tc>
        <w:tc>
          <w:tcPr>
            <w:tcW w:w="5103" w:type="dxa"/>
          </w:tcPr>
          <w:p>
            <w:pPr>
              <w:spacing w:line="300" w:lineRule="auto"/>
              <w:rPr>
                <w:rFonts w:asciiTheme="minorEastAsia" w:hAnsiTheme="minorEastAsia"/>
                <w:bCs/>
                <w:sz w:val="24"/>
                <w:szCs w:val="24"/>
              </w:rPr>
            </w:pPr>
            <w:r>
              <w:rPr>
                <w:rFonts w:hint="eastAsia" w:asciiTheme="minorEastAsia" w:hAnsiTheme="minorEastAsia"/>
                <w:bCs/>
                <w:sz w:val="24"/>
                <w:szCs w:val="24"/>
              </w:rPr>
              <w:t>2-1 懂得仓库作业的基本流程；</w:t>
            </w:r>
          </w:p>
          <w:p>
            <w:pPr>
              <w:spacing w:line="300" w:lineRule="auto"/>
              <w:rPr>
                <w:rFonts w:asciiTheme="minorEastAsia" w:hAnsiTheme="minorEastAsia"/>
                <w:bCs/>
                <w:sz w:val="24"/>
                <w:szCs w:val="24"/>
              </w:rPr>
            </w:pPr>
            <w:r>
              <w:rPr>
                <w:rFonts w:hint="eastAsia" w:asciiTheme="minorEastAsia" w:hAnsiTheme="minorEastAsia"/>
                <w:bCs/>
                <w:sz w:val="24"/>
                <w:szCs w:val="24"/>
              </w:rPr>
              <w:t>2-2 具有进行商品检验的能力；</w:t>
            </w:r>
          </w:p>
          <w:p>
            <w:pPr>
              <w:spacing w:line="300" w:lineRule="auto"/>
              <w:rPr>
                <w:rFonts w:asciiTheme="minorEastAsia" w:hAnsiTheme="minorEastAsia"/>
                <w:bCs/>
                <w:sz w:val="24"/>
                <w:szCs w:val="24"/>
              </w:rPr>
            </w:pPr>
            <w:r>
              <w:rPr>
                <w:rFonts w:hint="eastAsia" w:asciiTheme="minorEastAsia" w:hAnsiTheme="minorEastAsia"/>
                <w:bCs/>
                <w:sz w:val="24"/>
                <w:szCs w:val="24"/>
              </w:rPr>
              <w:t>2-3 具有针对商品的特性科学合理地进行仓储空间规划和优化的能力；</w:t>
            </w:r>
          </w:p>
          <w:p>
            <w:pPr>
              <w:spacing w:line="300" w:lineRule="auto"/>
              <w:rPr>
                <w:rFonts w:asciiTheme="minorEastAsia" w:hAnsiTheme="minorEastAsia"/>
                <w:bCs/>
                <w:sz w:val="24"/>
                <w:szCs w:val="24"/>
              </w:rPr>
            </w:pPr>
            <w:r>
              <w:rPr>
                <w:rFonts w:hint="eastAsia" w:asciiTheme="minorEastAsia" w:hAnsiTheme="minorEastAsia"/>
                <w:bCs/>
                <w:sz w:val="24"/>
                <w:szCs w:val="24"/>
              </w:rPr>
              <w:t>2-4 具有商品知识，具有针对不同商品特性选用装卸机具设备的能力；</w:t>
            </w:r>
          </w:p>
          <w:p>
            <w:pPr>
              <w:spacing w:line="300" w:lineRule="auto"/>
              <w:rPr>
                <w:rFonts w:asciiTheme="minorEastAsia" w:hAnsiTheme="minorEastAsia"/>
                <w:bCs/>
                <w:sz w:val="24"/>
                <w:szCs w:val="24"/>
              </w:rPr>
            </w:pPr>
            <w:r>
              <w:rPr>
                <w:rFonts w:hint="eastAsia" w:asciiTheme="minorEastAsia" w:hAnsiTheme="minorEastAsia"/>
                <w:bCs/>
                <w:sz w:val="24"/>
                <w:szCs w:val="24"/>
              </w:rPr>
              <w:t>2-5 具有入库作业的能力；</w:t>
            </w:r>
          </w:p>
          <w:p>
            <w:pPr>
              <w:spacing w:line="300" w:lineRule="auto"/>
              <w:rPr>
                <w:rFonts w:asciiTheme="minorEastAsia" w:hAnsiTheme="minorEastAsia"/>
                <w:bCs/>
                <w:sz w:val="24"/>
                <w:szCs w:val="24"/>
              </w:rPr>
            </w:pPr>
            <w:r>
              <w:rPr>
                <w:rFonts w:hint="eastAsia" w:asciiTheme="minorEastAsia" w:hAnsiTheme="minorEastAsia"/>
                <w:bCs/>
                <w:sz w:val="24"/>
                <w:szCs w:val="24"/>
              </w:rPr>
              <w:t>2-6 具有使用各种分拣设备和设施的能力；</w:t>
            </w:r>
          </w:p>
          <w:p>
            <w:pPr>
              <w:spacing w:line="300" w:lineRule="auto"/>
              <w:rPr>
                <w:rFonts w:asciiTheme="minorEastAsia" w:hAnsiTheme="minorEastAsia"/>
                <w:bCs/>
                <w:sz w:val="24"/>
                <w:szCs w:val="24"/>
              </w:rPr>
            </w:pPr>
            <w:r>
              <w:rPr>
                <w:rFonts w:hint="eastAsia" w:asciiTheme="minorEastAsia" w:hAnsiTheme="minorEastAsia"/>
                <w:bCs/>
                <w:sz w:val="24"/>
                <w:szCs w:val="24"/>
              </w:rPr>
              <w:t>2-7 具有进行分拣信息的处理；</w:t>
            </w:r>
          </w:p>
          <w:p>
            <w:pPr>
              <w:spacing w:line="300" w:lineRule="auto"/>
              <w:rPr>
                <w:rFonts w:asciiTheme="minorEastAsia" w:hAnsiTheme="minorEastAsia"/>
                <w:bCs/>
                <w:sz w:val="24"/>
                <w:szCs w:val="24"/>
              </w:rPr>
            </w:pPr>
            <w:r>
              <w:rPr>
                <w:rFonts w:hint="eastAsia" w:asciiTheme="minorEastAsia" w:hAnsiTheme="minorEastAsia"/>
                <w:bCs/>
                <w:sz w:val="24"/>
                <w:szCs w:val="24"/>
              </w:rPr>
              <w:t>2-8 具有物流系统相关软件的操作能力；</w:t>
            </w:r>
          </w:p>
          <w:p>
            <w:pPr>
              <w:spacing w:line="300" w:lineRule="auto"/>
              <w:rPr>
                <w:rFonts w:asciiTheme="minorEastAsia" w:hAnsiTheme="minorEastAsia"/>
                <w:bCs/>
                <w:sz w:val="24"/>
                <w:szCs w:val="24"/>
              </w:rPr>
            </w:pPr>
            <w:r>
              <w:rPr>
                <w:rFonts w:hint="eastAsia" w:asciiTheme="minorEastAsia" w:hAnsiTheme="minorEastAsia"/>
                <w:bCs/>
                <w:sz w:val="24"/>
                <w:szCs w:val="24"/>
              </w:rPr>
              <w:t>2-9 能够合理地选用和使用仓储资源和相应的设施设备；</w:t>
            </w:r>
          </w:p>
          <w:p>
            <w:pPr>
              <w:spacing w:line="300" w:lineRule="auto"/>
              <w:rPr>
                <w:rFonts w:asciiTheme="minorEastAsia" w:hAnsiTheme="minorEastAsia"/>
                <w:bCs/>
                <w:sz w:val="24"/>
                <w:szCs w:val="24"/>
              </w:rPr>
            </w:pPr>
            <w:r>
              <w:rPr>
                <w:rFonts w:hint="eastAsia" w:asciiTheme="minorEastAsia" w:hAnsiTheme="minorEastAsia"/>
                <w:bCs/>
                <w:sz w:val="24"/>
                <w:szCs w:val="24"/>
              </w:rPr>
              <w:t>2-10 能针对不同货物或商品进行科学养护；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Theme="minorEastAsia" w:hAnsiTheme="minorEastAsia"/>
                <w:bCs/>
                <w:sz w:val="24"/>
                <w:szCs w:val="24"/>
              </w:rPr>
            </w:pPr>
            <w:r>
              <w:rPr>
                <w:rFonts w:hint="eastAsia" w:asciiTheme="minorEastAsia" w:hAnsiTheme="minorEastAsia"/>
                <w:bCs/>
                <w:sz w:val="24"/>
                <w:szCs w:val="24"/>
              </w:rPr>
              <w:t>3</w:t>
            </w:r>
          </w:p>
        </w:tc>
        <w:tc>
          <w:tcPr>
            <w:tcW w:w="1276" w:type="dxa"/>
          </w:tcPr>
          <w:p>
            <w:pPr>
              <w:spacing w:line="300" w:lineRule="auto"/>
              <w:rPr>
                <w:rFonts w:asciiTheme="minorEastAsia" w:hAnsiTheme="minorEastAsia"/>
                <w:bCs/>
                <w:sz w:val="24"/>
                <w:szCs w:val="24"/>
              </w:rPr>
            </w:pPr>
            <w:r>
              <w:rPr>
                <w:rFonts w:hint="eastAsia" w:asciiTheme="minorEastAsia" w:hAnsiTheme="minorEastAsia"/>
                <w:bCs/>
                <w:sz w:val="24"/>
                <w:szCs w:val="24"/>
              </w:rPr>
              <w:t>运输计划与调度员</w:t>
            </w:r>
          </w:p>
        </w:tc>
        <w:tc>
          <w:tcPr>
            <w:tcW w:w="2551" w:type="dxa"/>
          </w:tcPr>
          <w:p>
            <w:pPr>
              <w:spacing w:line="300" w:lineRule="auto"/>
              <w:rPr>
                <w:rFonts w:asciiTheme="minorEastAsia" w:hAnsiTheme="minorEastAsia"/>
                <w:bCs/>
                <w:sz w:val="24"/>
                <w:szCs w:val="24"/>
              </w:rPr>
            </w:pPr>
            <w:r>
              <w:rPr>
                <w:rFonts w:hint="eastAsia" w:asciiTheme="minorEastAsia" w:hAnsiTheme="minorEastAsia"/>
                <w:bCs/>
                <w:sz w:val="24"/>
                <w:szCs w:val="24"/>
              </w:rPr>
              <w:t>取送货的车辆调配、指挥；与供货方目的站的协调；运输计划的制订 与装载的安排；相关单据的填写、交接和归档；运输、配送、车辆台账的更新；生产工具使用记录和保管；司机的调配管理；车辆的维修保养和燃油管理。</w:t>
            </w:r>
          </w:p>
        </w:tc>
        <w:tc>
          <w:tcPr>
            <w:tcW w:w="5103" w:type="dxa"/>
          </w:tcPr>
          <w:p>
            <w:pPr>
              <w:spacing w:line="300" w:lineRule="auto"/>
              <w:rPr>
                <w:rFonts w:asciiTheme="minorEastAsia" w:hAnsiTheme="minorEastAsia"/>
                <w:bCs/>
                <w:sz w:val="24"/>
                <w:szCs w:val="24"/>
              </w:rPr>
            </w:pPr>
            <w:r>
              <w:rPr>
                <w:rFonts w:hint="eastAsia" w:asciiTheme="minorEastAsia" w:hAnsiTheme="minorEastAsia"/>
                <w:bCs/>
                <w:sz w:val="24"/>
                <w:szCs w:val="24"/>
              </w:rPr>
              <w:t>3-1 具有严谨、认真、工作踏实和吃苦耐劳的工</w:t>
            </w:r>
          </w:p>
          <w:p>
            <w:pPr>
              <w:spacing w:line="300" w:lineRule="auto"/>
              <w:rPr>
                <w:rFonts w:asciiTheme="minorEastAsia" w:hAnsiTheme="minorEastAsia"/>
                <w:bCs/>
                <w:sz w:val="24"/>
                <w:szCs w:val="24"/>
              </w:rPr>
            </w:pPr>
            <w:r>
              <w:rPr>
                <w:rFonts w:hint="eastAsia" w:asciiTheme="minorEastAsia" w:hAnsiTheme="minorEastAsia"/>
                <w:bCs/>
                <w:sz w:val="24"/>
                <w:szCs w:val="24"/>
              </w:rPr>
              <w:t>作态度，能够适应物流行业工作操作时间；</w:t>
            </w:r>
          </w:p>
          <w:p>
            <w:pPr>
              <w:spacing w:line="300" w:lineRule="auto"/>
              <w:rPr>
                <w:rFonts w:asciiTheme="minorEastAsia" w:hAnsiTheme="minorEastAsia"/>
                <w:bCs/>
                <w:sz w:val="24"/>
                <w:szCs w:val="24"/>
              </w:rPr>
            </w:pPr>
            <w:r>
              <w:rPr>
                <w:rFonts w:hint="eastAsia" w:asciiTheme="minorEastAsia" w:hAnsiTheme="minorEastAsia"/>
                <w:bCs/>
                <w:sz w:val="24"/>
                <w:szCs w:val="24"/>
              </w:rPr>
              <w:t>3-2 熟悉当地运输路线和运输市场供求信息；</w:t>
            </w:r>
          </w:p>
          <w:p>
            <w:pPr>
              <w:spacing w:line="300" w:lineRule="auto"/>
              <w:rPr>
                <w:rFonts w:asciiTheme="minorEastAsia" w:hAnsiTheme="minorEastAsia"/>
                <w:bCs/>
                <w:sz w:val="24"/>
                <w:szCs w:val="24"/>
              </w:rPr>
            </w:pPr>
            <w:r>
              <w:rPr>
                <w:rFonts w:hint="eastAsia" w:asciiTheme="minorEastAsia" w:hAnsiTheme="minorEastAsia"/>
                <w:bCs/>
                <w:sz w:val="24"/>
                <w:szCs w:val="24"/>
              </w:rPr>
              <w:t>3-3 熟悉货物特性，具有货物配载和加固的规划和设计能力；</w:t>
            </w:r>
          </w:p>
          <w:p>
            <w:pPr>
              <w:spacing w:line="300" w:lineRule="auto"/>
              <w:rPr>
                <w:rFonts w:asciiTheme="minorEastAsia" w:hAnsiTheme="minorEastAsia"/>
                <w:bCs/>
                <w:sz w:val="24"/>
                <w:szCs w:val="24"/>
              </w:rPr>
            </w:pPr>
            <w:r>
              <w:rPr>
                <w:rFonts w:hint="eastAsia" w:asciiTheme="minorEastAsia" w:hAnsiTheme="minorEastAsia"/>
                <w:bCs/>
                <w:sz w:val="24"/>
                <w:szCs w:val="24"/>
              </w:rPr>
              <w:t>3-4 具有独立处理突发事件的能力；</w:t>
            </w:r>
          </w:p>
          <w:p>
            <w:pPr>
              <w:spacing w:line="300" w:lineRule="auto"/>
              <w:rPr>
                <w:rFonts w:asciiTheme="minorEastAsia" w:hAnsiTheme="minorEastAsia"/>
                <w:bCs/>
                <w:sz w:val="24"/>
                <w:szCs w:val="24"/>
              </w:rPr>
            </w:pPr>
            <w:r>
              <w:rPr>
                <w:rFonts w:hint="eastAsia" w:asciiTheme="minorEastAsia" w:hAnsiTheme="minorEastAsia"/>
                <w:bCs/>
                <w:sz w:val="24"/>
                <w:szCs w:val="24"/>
              </w:rPr>
              <w:t>3-5 有较强的协调沟通能力和较好的团队精神，能够服从上级的安排，能够协助上级制定工作计划和制作工作方案。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Theme="minorEastAsia" w:hAnsiTheme="minorEastAsia"/>
                <w:bCs/>
                <w:sz w:val="24"/>
                <w:szCs w:val="24"/>
              </w:rPr>
            </w:pPr>
            <w:r>
              <w:rPr>
                <w:rFonts w:hint="eastAsia" w:asciiTheme="minorEastAsia" w:hAnsiTheme="minorEastAsia"/>
                <w:bCs/>
                <w:sz w:val="24"/>
                <w:szCs w:val="24"/>
              </w:rPr>
              <w:t>4</w:t>
            </w:r>
          </w:p>
        </w:tc>
        <w:tc>
          <w:tcPr>
            <w:tcW w:w="1276" w:type="dxa"/>
          </w:tcPr>
          <w:p>
            <w:pPr>
              <w:spacing w:line="300" w:lineRule="auto"/>
              <w:rPr>
                <w:rFonts w:asciiTheme="minorEastAsia" w:hAnsiTheme="minorEastAsia"/>
                <w:bCs/>
                <w:sz w:val="24"/>
                <w:szCs w:val="24"/>
              </w:rPr>
            </w:pPr>
            <w:r>
              <w:rPr>
                <w:rFonts w:asciiTheme="minorEastAsia" w:hAnsiTheme="minorEastAsia"/>
                <w:bCs/>
                <w:sz w:val="24"/>
                <w:szCs w:val="24"/>
              </w:rPr>
              <w:t>配送员</w:t>
            </w:r>
          </w:p>
        </w:tc>
        <w:tc>
          <w:tcPr>
            <w:tcW w:w="2551" w:type="dxa"/>
          </w:tcPr>
          <w:p>
            <w:pPr>
              <w:spacing w:line="300" w:lineRule="auto"/>
              <w:rPr>
                <w:rFonts w:asciiTheme="minorEastAsia" w:hAnsiTheme="minorEastAsia"/>
                <w:bCs/>
                <w:sz w:val="24"/>
                <w:szCs w:val="24"/>
              </w:rPr>
            </w:pPr>
            <w:r>
              <w:rPr>
                <w:rFonts w:hint="eastAsia" w:asciiTheme="minorEastAsia" w:hAnsiTheme="minorEastAsia"/>
                <w:bCs/>
                <w:sz w:val="24"/>
                <w:szCs w:val="24"/>
              </w:rPr>
              <w:t>接受并执行配送指令；制定配送计划；</w:t>
            </w:r>
          </w:p>
          <w:p>
            <w:pPr>
              <w:spacing w:line="300" w:lineRule="auto"/>
              <w:rPr>
                <w:rFonts w:asciiTheme="minorEastAsia" w:hAnsiTheme="minorEastAsia"/>
                <w:bCs/>
                <w:sz w:val="24"/>
                <w:szCs w:val="24"/>
              </w:rPr>
            </w:pPr>
            <w:r>
              <w:rPr>
                <w:rFonts w:hint="eastAsia" w:asciiTheme="minorEastAsia" w:hAnsiTheme="minorEastAsia"/>
                <w:bCs/>
                <w:sz w:val="24"/>
                <w:szCs w:val="24"/>
              </w:rPr>
              <w:t>进行车辆的日常调度；货物或商品的集配载；执行过程中的信息反馈。</w:t>
            </w:r>
          </w:p>
        </w:tc>
        <w:tc>
          <w:tcPr>
            <w:tcW w:w="5103" w:type="dxa"/>
          </w:tcPr>
          <w:p>
            <w:pPr>
              <w:spacing w:line="300" w:lineRule="auto"/>
              <w:rPr>
                <w:rFonts w:asciiTheme="minorEastAsia" w:hAnsiTheme="minorEastAsia"/>
                <w:bCs/>
                <w:sz w:val="24"/>
                <w:szCs w:val="24"/>
              </w:rPr>
            </w:pPr>
            <w:r>
              <w:rPr>
                <w:rFonts w:hint="eastAsia" w:asciiTheme="minorEastAsia" w:hAnsiTheme="minorEastAsia"/>
                <w:bCs/>
                <w:sz w:val="24"/>
                <w:szCs w:val="24"/>
              </w:rPr>
              <w:t>4-1 熟悉相应的地理位臵和线路情况；</w:t>
            </w:r>
          </w:p>
          <w:p>
            <w:pPr>
              <w:spacing w:line="300" w:lineRule="auto"/>
              <w:rPr>
                <w:rFonts w:asciiTheme="minorEastAsia" w:hAnsiTheme="minorEastAsia"/>
                <w:bCs/>
                <w:sz w:val="24"/>
                <w:szCs w:val="24"/>
              </w:rPr>
            </w:pPr>
            <w:r>
              <w:rPr>
                <w:rFonts w:hint="eastAsia" w:asciiTheme="minorEastAsia" w:hAnsiTheme="minorEastAsia"/>
                <w:bCs/>
                <w:sz w:val="24"/>
                <w:szCs w:val="24"/>
              </w:rPr>
              <w:t>4-2 掌握车辆调度原则，具有进行车辆合理调度的能力；</w:t>
            </w:r>
          </w:p>
          <w:p>
            <w:pPr>
              <w:spacing w:line="300" w:lineRule="auto"/>
              <w:rPr>
                <w:rFonts w:asciiTheme="minorEastAsia" w:hAnsiTheme="minorEastAsia"/>
                <w:bCs/>
                <w:sz w:val="24"/>
                <w:szCs w:val="24"/>
              </w:rPr>
            </w:pPr>
            <w:r>
              <w:rPr>
                <w:rFonts w:hint="eastAsia" w:asciiTheme="minorEastAsia" w:hAnsiTheme="minorEastAsia"/>
                <w:bCs/>
                <w:sz w:val="24"/>
                <w:szCs w:val="24"/>
              </w:rPr>
              <w:t>4-3 有较好的统筹规划能力；</w:t>
            </w:r>
          </w:p>
          <w:p>
            <w:pPr>
              <w:spacing w:line="300" w:lineRule="auto"/>
              <w:rPr>
                <w:rFonts w:asciiTheme="minorEastAsia" w:hAnsiTheme="minorEastAsia"/>
                <w:bCs/>
                <w:sz w:val="24"/>
                <w:szCs w:val="24"/>
              </w:rPr>
            </w:pPr>
            <w:r>
              <w:rPr>
                <w:rFonts w:hint="eastAsia" w:asciiTheme="minorEastAsia" w:hAnsiTheme="minorEastAsia"/>
                <w:bCs/>
                <w:sz w:val="24"/>
                <w:szCs w:val="24"/>
              </w:rPr>
              <w:t>4-4 具有合理选用包装材料的能力；</w:t>
            </w:r>
          </w:p>
          <w:p>
            <w:pPr>
              <w:spacing w:line="300" w:lineRule="auto"/>
              <w:rPr>
                <w:rFonts w:asciiTheme="minorEastAsia" w:hAnsiTheme="minorEastAsia"/>
                <w:bCs/>
                <w:sz w:val="24"/>
                <w:szCs w:val="24"/>
              </w:rPr>
            </w:pPr>
            <w:r>
              <w:rPr>
                <w:rFonts w:hint="eastAsia" w:asciiTheme="minorEastAsia" w:hAnsiTheme="minorEastAsia"/>
                <w:bCs/>
                <w:sz w:val="24"/>
                <w:szCs w:val="24"/>
              </w:rPr>
              <w:t>4-5 具有运用包装技法实施包装的能力；</w:t>
            </w:r>
          </w:p>
          <w:p>
            <w:pPr>
              <w:spacing w:line="300" w:lineRule="auto"/>
              <w:rPr>
                <w:rFonts w:asciiTheme="minorEastAsia" w:hAnsiTheme="minorEastAsia"/>
                <w:bCs/>
                <w:sz w:val="24"/>
                <w:szCs w:val="24"/>
              </w:rPr>
            </w:pPr>
            <w:r>
              <w:rPr>
                <w:rFonts w:hint="eastAsia" w:asciiTheme="minorEastAsia" w:hAnsiTheme="minorEastAsia"/>
                <w:bCs/>
                <w:sz w:val="24"/>
                <w:szCs w:val="24"/>
              </w:rPr>
              <w:t>4-6 具有包装设备设施的使用能力；</w:t>
            </w:r>
          </w:p>
          <w:p>
            <w:pPr>
              <w:spacing w:line="300" w:lineRule="auto"/>
              <w:rPr>
                <w:rFonts w:asciiTheme="minorEastAsia" w:hAnsiTheme="minorEastAsia"/>
                <w:bCs/>
                <w:sz w:val="24"/>
                <w:szCs w:val="24"/>
              </w:rPr>
            </w:pPr>
            <w:r>
              <w:rPr>
                <w:rFonts w:hint="eastAsia" w:asciiTheme="minorEastAsia" w:hAnsiTheme="minorEastAsia"/>
                <w:bCs/>
                <w:sz w:val="24"/>
                <w:szCs w:val="24"/>
              </w:rPr>
              <w:t>4-7 具有针对货物特性和客户要求进行科学配载的能力；</w:t>
            </w:r>
          </w:p>
          <w:p>
            <w:pPr>
              <w:spacing w:line="300" w:lineRule="auto"/>
              <w:rPr>
                <w:rFonts w:asciiTheme="minorEastAsia" w:hAnsiTheme="minorEastAsia"/>
                <w:bCs/>
                <w:sz w:val="24"/>
                <w:szCs w:val="24"/>
              </w:rPr>
            </w:pPr>
            <w:r>
              <w:rPr>
                <w:rFonts w:hint="eastAsia" w:asciiTheme="minorEastAsia" w:hAnsiTheme="minorEastAsia"/>
                <w:bCs/>
                <w:sz w:val="24"/>
                <w:szCs w:val="24"/>
              </w:rPr>
              <w:t>4-8 具有物流系统相关软件操作能力；</w:t>
            </w:r>
          </w:p>
          <w:p>
            <w:pPr>
              <w:spacing w:line="300" w:lineRule="auto"/>
              <w:rPr>
                <w:rFonts w:asciiTheme="minorEastAsia" w:hAnsiTheme="minorEastAsia"/>
                <w:bCs/>
                <w:sz w:val="24"/>
                <w:szCs w:val="24"/>
              </w:rPr>
            </w:pPr>
            <w:r>
              <w:rPr>
                <w:rFonts w:hint="eastAsia" w:asciiTheme="minorEastAsia" w:hAnsiTheme="minorEastAsia"/>
                <w:bCs/>
                <w:sz w:val="24"/>
                <w:szCs w:val="24"/>
              </w:rPr>
              <w:t>4-9 具有较好的服务意思和责任感；</w:t>
            </w:r>
          </w:p>
          <w:p>
            <w:pPr>
              <w:spacing w:line="300" w:lineRule="auto"/>
              <w:rPr>
                <w:rFonts w:asciiTheme="minorEastAsia" w:hAnsiTheme="minorEastAsia"/>
                <w:bCs/>
                <w:sz w:val="24"/>
                <w:szCs w:val="24"/>
              </w:rPr>
            </w:pPr>
            <w:r>
              <w:rPr>
                <w:rFonts w:hint="eastAsia" w:asciiTheme="minorEastAsia" w:hAnsiTheme="minorEastAsia"/>
                <w:bCs/>
                <w:sz w:val="24"/>
                <w:szCs w:val="24"/>
              </w:rPr>
              <w:t>4-10 具有配送运作监控的能力。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Theme="minorEastAsia" w:hAnsiTheme="minorEastAsia"/>
                <w:bCs/>
                <w:sz w:val="24"/>
                <w:szCs w:val="24"/>
              </w:rPr>
            </w:pPr>
            <w:r>
              <w:rPr>
                <w:rFonts w:hint="eastAsia" w:asciiTheme="minorEastAsia" w:hAnsiTheme="minorEastAsia"/>
                <w:bCs/>
                <w:sz w:val="24"/>
                <w:szCs w:val="24"/>
              </w:rPr>
              <w:t>5</w:t>
            </w:r>
          </w:p>
        </w:tc>
        <w:tc>
          <w:tcPr>
            <w:tcW w:w="1276" w:type="dxa"/>
          </w:tcPr>
          <w:p>
            <w:pPr>
              <w:spacing w:line="300" w:lineRule="auto"/>
              <w:rPr>
                <w:rFonts w:asciiTheme="minorEastAsia" w:hAnsiTheme="minorEastAsia"/>
                <w:bCs/>
                <w:sz w:val="24"/>
                <w:szCs w:val="24"/>
              </w:rPr>
            </w:pPr>
            <w:r>
              <w:rPr>
                <w:rFonts w:hint="eastAsia" w:asciiTheme="minorEastAsia" w:hAnsiTheme="minorEastAsia"/>
                <w:bCs/>
                <w:sz w:val="24"/>
                <w:szCs w:val="24"/>
              </w:rPr>
              <w:t>客户服务员</w:t>
            </w:r>
          </w:p>
        </w:tc>
        <w:tc>
          <w:tcPr>
            <w:tcW w:w="2551" w:type="dxa"/>
          </w:tcPr>
          <w:p>
            <w:pPr>
              <w:spacing w:line="300" w:lineRule="auto"/>
              <w:rPr>
                <w:rFonts w:asciiTheme="minorEastAsia" w:hAnsiTheme="minorEastAsia"/>
                <w:bCs/>
                <w:sz w:val="24"/>
                <w:szCs w:val="24"/>
              </w:rPr>
            </w:pPr>
            <w:r>
              <w:rPr>
                <w:rFonts w:hint="eastAsia" w:asciiTheme="minorEastAsia" w:hAnsiTheme="minorEastAsia"/>
                <w:bCs/>
                <w:sz w:val="24"/>
                <w:szCs w:val="24"/>
              </w:rPr>
              <w:t>接受客户需求订单；订单组织和监督；异常情况进行跟踪处理；协调客户关系；与相关部门的沟通；对问题处理的情况进行记录和反馈。</w:t>
            </w:r>
          </w:p>
        </w:tc>
        <w:tc>
          <w:tcPr>
            <w:tcW w:w="5103" w:type="dxa"/>
          </w:tcPr>
          <w:p>
            <w:pPr>
              <w:spacing w:line="300" w:lineRule="auto"/>
              <w:rPr>
                <w:rFonts w:asciiTheme="minorEastAsia" w:hAnsiTheme="minorEastAsia"/>
                <w:bCs/>
                <w:sz w:val="24"/>
                <w:szCs w:val="24"/>
              </w:rPr>
            </w:pPr>
            <w:r>
              <w:rPr>
                <w:rFonts w:hint="eastAsia" w:asciiTheme="minorEastAsia" w:hAnsiTheme="minorEastAsia"/>
                <w:bCs/>
                <w:sz w:val="24"/>
                <w:szCs w:val="24"/>
              </w:rPr>
              <w:t>5-1 了解客户管理知识，懂商务礼仪，具有客户联络跟踪的能力；</w:t>
            </w:r>
          </w:p>
          <w:p>
            <w:pPr>
              <w:spacing w:line="300" w:lineRule="auto"/>
              <w:rPr>
                <w:rFonts w:asciiTheme="minorEastAsia" w:hAnsiTheme="minorEastAsia"/>
                <w:bCs/>
                <w:sz w:val="24"/>
                <w:szCs w:val="24"/>
              </w:rPr>
            </w:pPr>
            <w:r>
              <w:rPr>
                <w:rFonts w:hint="eastAsia" w:asciiTheme="minorEastAsia" w:hAnsiTheme="minorEastAsia"/>
                <w:bCs/>
                <w:sz w:val="24"/>
                <w:szCs w:val="24"/>
              </w:rPr>
              <w:t>5-2 懂配送、运输作业的相关流程和法规；</w:t>
            </w:r>
          </w:p>
          <w:p>
            <w:pPr>
              <w:spacing w:line="300" w:lineRule="auto"/>
              <w:rPr>
                <w:rFonts w:asciiTheme="minorEastAsia" w:hAnsiTheme="minorEastAsia"/>
                <w:bCs/>
                <w:sz w:val="24"/>
                <w:szCs w:val="24"/>
              </w:rPr>
            </w:pPr>
            <w:r>
              <w:rPr>
                <w:rFonts w:hint="eastAsia" w:asciiTheme="minorEastAsia" w:hAnsiTheme="minorEastAsia"/>
                <w:bCs/>
                <w:sz w:val="24"/>
                <w:szCs w:val="24"/>
              </w:rPr>
              <w:t>5-3 具有及时果断地处理问题的能力；</w:t>
            </w:r>
          </w:p>
          <w:p>
            <w:pPr>
              <w:spacing w:line="300" w:lineRule="auto"/>
              <w:rPr>
                <w:rFonts w:asciiTheme="minorEastAsia" w:hAnsiTheme="minorEastAsia"/>
                <w:bCs/>
                <w:sz w:val="24"/>
                <w:szCs w:val="24"/>
              </w:rPr>
            </w:pPr>
            <w:r>
              <w:rPr>
                <w:rFonts w:hint="eastAsia" w:asciiTheme="minorEastAsia" w:hAnsiTheme="minorEastAsia"/>
                <w:bCs/>
                <w:sz w:val="24"/>
                <w:szCs w:val="24"/>
              </w:rPr>
              <w:t>5-4 具有良好的沟通能力。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Theme="minorEastAsia" w:hAnsiTheme="minorEastAsia"/>
                <w:bCs/>
                <w:sz w:val="24"/>
                <w:szCs w:val="24"/>
              </w:rPr>
            </w:pPr>
            <w:r>
              <w:rPr>
                <w:rFonts w:hint="eastAsia" w:asciiTheme="minorEastAsia" w:hAnsiTheme="minorEastAsia"/>
                <w:bCs/>
                <w:sz w:val="24"/>
                <w:szCs w:val="24"/>
              </w:rPr>
              <w:t>6</w:t>
            </w:r>
          </w:p>
        </w:tc>
        <w:tc>
          <w:tcPr>
            <w:tcW w:w="1276" w:type="dxa"/>
          </w:tcPr>
          <w:p>
            <w:pPr>
              <w:spacing w:line="300" w:lineRule="auto"/>
              <w:rPr>
                <w:rFonts w:asciiTheme="minorEastAsia" w:hAnsiTheme="minorEastAsia"/>
                <w:bCs/>
                <w:sz w:val="24"/>
                <w:szCs w:val="24"/>
              </w:rPr>
            </w:pPr>
            <w:r>
              <w:rPr>
                <w:rFonts w:hint="eastAsia" w:asciiTheme="minorEastAsia" w:hAnsiTheme="minorEastAsia"/>
                <w:bCs/>
                <w:sz w:val="24"/>
                <w:szCs w:val="24"/>
              </w:rPr>
              <w:t>叉车司机及特种设备操作员</w:t>
            </w:r>
          </w:p>
        </w:tc>
        <w:tc>
          <w:tcPr>
            <w:tcW w:w="2551" w:type="dxa"/>
          </w:tcPr>
          <w:p>
            <w:pPr>
              <w:spacing w:line="300" w:lineRule="auto"/>
              <w:rPr>
                <w:rFonts w:asciiTheme="minorEastAsia" w:hAnsiTheme="minorEastAsia"/>
                <w:bCs/>
                <w:sz w:val="24"/>
                <w:szCs w:val="24"/>
              </w:rPr>
            </w:pPr>
            <w:r>
              <w:rPr>
                <w:rFonts w:hint="eastAsia" w:asciiTheme="minorEastAsia" w:hAnsiTheme="minorEastAsia"/>
                <w:bCs/>
                <w:sz w:val="24"/>
                <w:szCs w:val="24"/>
              </w:rPr>
              <w:t>熟知国家特种设备操作与维护的相关法律法规；掌握叉车的构造与维护维修技术；熟知叉车驾驶安全技术，预防机械事故和人生伤害事故。</w:t>
            </w:r>
          </w:p>
        </w:tc>
        <w:tc>
          <w:tcPr>
            <w:tcW w:w="5103" w:type="dxa"/>
          </w:tcPr>
          <w:p>
            <w:pPr>
              <w:spacing w:line="300" w:lineRule="auto"/>
              <w:rPr>
                <w:rFonts w:asciiTheme="minorEastAsia" w:hAnsiTheme="minorEastAsia"/>
                <w:bCs/>
                <w:sz w:val="24"/>
                <w:szCs w:val="24"/>
              </w:rPr>
            </w:pPr>
            <w:r>
              <w:rPr>
                <w:rFonts w:hint="eastAsia" w:asciiTheme="minorEastAsia" w:hAnsiTheme="minorEastAsia"/>
                <w:bCs/>
                <w:sz w:val="24"/>
                <w:szCs w:val="24"/>
              </w:rPr>
              <w:t>6-1 具有操作设备、设施安全及高效使用，工作期间提交的工作成果达致公司及部门目标要求</w:t>
            </w:r>
          </w:p>
          <w:p>
            <w:pPr>
              <w:spacing w:line="300" w:lineRule="auto"/>
              <w:rPr>
                <w:rFonts w:asciiTheme="minorEastAsia" w:hAnsiTheme="minorEastAsia"/>
                <w:bCs/>
                <w:sz w:val="24"/>
                <w:szCs w:val="24"/>
              </w:rPr>
            </w:pPr>
            <w:r>
              <w:rPr>
                <w:rFonts w:hint="eastAsia" w:asciiTheme="minorEastAsia" w:hAnsiTheme="minorEastAsia"/>
                <w:bCs/>
                <w:sz w:val="24"/>
                <w:szCs w:val="24"/>
              </w:rPr>
              <w:t>的能力；</w:t>
            </w:r>
          </w:p>
          <w:p>
            <w:pPr>
              <w:spacing w:line="300" w:lineRule="auto"/>
              <w:rPr>
                <w:rFonts w:asciiTheme="minorEastAsia" w:hAnsiTheme="minorEastAsia"/>
                <w:bCs/>
                <w:sz w:val="24"/>
                <w:szCs w:val="24"/>
              </w:rPr>
            </w:pPr>
            <w:r>
              <w:rPr>
                <w:rFonts w:hint="eastAsia" w:asciiTheme="minorEastAsia" w:hAnsiTheme="minorEastAsia"/>
                <w:bCs/>
                <w:sz w:val="24"/>
                <w:szCs w:val="24"/>
              </w:rPr>
              <w:t>6-2 具有现场车辆的装卸、检查、协调，保证现场运作安全、有序的能力；</w:t>
            </w:r>
          </w:p>
          <w:p>
            <w:pPr>
              <w:spacing w:line="300" w:lineRule="auto"/>
              <w:rPr>
                <w:rFonts w:asciiTheme="minorEastAsia" w:hAnsiTheme="minorEastAsia"/>
                <w:bCs/>
                <w:sz w:val="24"/>
                <w:szCs w:val="24"/>
              </w:rPr>
            </w:pPr>
            <w:r>
              <w:rPr>
                <w:rFonts w:hint="eastAsia" w:asciiTheme="minorEastAsia" w:hAnsiTheme="minorEastAsia"/>
                <w:bCs/>
                <w:sz w:val="24"/>
                <w:szCs w:val="24"/>
              </w:rPr>
              <w:t>6-3 具有工作过程与现场人员的效沟通、协调和组织能力；</w:t>
            </w:r>
          </w:p>
          <w:p>
            <w:pPr>
              <w:spacing w:line="300" w:lineRule="auto"/>
              <w:rPr>
                <w:rFonts w:asciiTheme="minorEastAsia" w:hAnsiTheme="minorEastAsia"/>
                <w:bCs/>
                <w:sz w:val="24"/>
                <w:szCs w:val="24"/>
              </w:rPr>
            </w:pPr>
            <w:r>
              <w:rPr>
                <w:rFonts w:hint="eastAsia" w:asciiTheme="minorEastAsia" w:hAnsiTheme="minorEastAsia"/>
                <w:bCs/>
                <w:sz w:val="24"/>
                <w:szCs w:val="24"/>
              </w:rPr>
              <w:t>6-4 严格遵守叉车安全操作规程，确保安全运行，杜绝安全事故的发生；</w:t>
            </w:r>
          </w:p>
          <w:p>
            <w:pPr>
              <w:spacing w:line="300" w:lineRule="auto"/>
              <w:rPr>
                <w:rFonts w:asciiTheme="minorEastAsia" w:hAnsiTheme="minorEastAsia"/>
                <w:bCs/>
                <w:sz w:val="24"/>
                <w:szCs w:val="24"/>
              </w:rPr>
            </w:pPr>
            <w:r>
              <w:rPr>
                <w:rFonts w:hint="eastAsia" w:asciiTheme="minorEastAsia" w:hAnsiTheme="minorEastAsia"/>
                <w:bCs/>
                <w:sz w:val="24"/>
                <w:szCs w:val="24"/>
              </w:rPr>
              <w:t>6-5 能根据叉车日常的保养规定和使用说明，及时的清洁保养叉车及其附属部件，并做好记录。</w:t>
            </w:r>
          </w:p>
          <w:p>
            <w:pPr>
              <w:spacing w:line="300" w:lineRule="auto"/>
              <w:rPr>
                <w:rFonts w:asciiTheme="minorEastAsia" w:hAnsiTheme="minorEastAsia"/>
                <w:bCs/>
                <w:sz w:val="24"/>
                <w:szCs w:val="24"/>
              </w:rPr>
            </w:pPr>
            <w:r>
              <w:rPr>
                <w:rFonts w:hint="eastAsia" w:asciiTheme="minorEastAsia" w:hAnsiTheme="minorEastAsia"/>
                <w:bCs/>
                <w:sz w:val="24"/>
                <w:szCs w:val="24"/>
              </w:rPr>
              <w:t>6-6 严格执行先到期先出的原则，严格执行产品追踪管理要求。</w:t>
            </w:r>
          </w:p>
        </w:tc>
      </w:tr>
    </w:tbl>
    <w:p>
      <w:pPr>
        <w:spacing w:line="360" w:lineRule="auto"/>
        <w:rPr>
          <w:rFonts w:asciiTheme="minorEastAsia" w:hAnsiTheme="minorEastAsia"/>
          <w:b/>
          <w:bCs/>
          <w:sz w:val="24"/>
          <w:szCs w:val="24"/>
        </w:rPr>
      </w:pPr>
      <w:r>
        <w:rPr>
          <w:rFonts w:hint="eastAsia" w:asciiTheme="minorEastAsia" w:hAnsiTheme="minorEastAsia"/>
          <w:b/>
          <w:bCs/>
          <w:sz w:val="24"/>
          <w:szCs w:val="24"/>
        </w:rPr>
        <w:t>五、培养目标与培养规格</w:t>
      </w:r>
    </w:p>
    <w:p>
      <w:pPr>
        <w:spacing w:line="360" w:lineRule="auto"/>
        <w:rPr>
          <w:rFonts w:asciiTheme="minorEastAsia" w:hAnsiTheme="minorEastAsia"/>
          <w:sz w:val="24"/>
          <w:szCs w:val="24"/>
        </w:rPr>
      </w:pPr>
      <w:r>
        <w:rPr>
          <w:rFonts w:hint="eastAsia" w:asciiTheme="minorEastAsia" w:hAnsiTheme="minorEastAsia"/>
          <w:sz w:val="24"/>
          <w:szCs w:val="24"/>
        </w:rPr>
        <w:t>（一）培养目标</w:t>
      </w:r>
    </w:p>
    <w:p>
      <w:pPr>
        <w:spacing w:line="360" w:lineRule="auto"/>
        <w:rPr>
          <w:rFonts w:asciiTheme="minorEastAsia" w:hAnsiTheme="minorEastAsia"/>
          <w:sz w:val="24"/>
          <w:szCs w:val="24"/>
        </w:rPr>
      </w:pPr>
      <w:r>
        <w:rPr>
          <w:rFonts w:hint="eastAsia" w:asciiTheme="minorEastAsia" w:hAnsiTheme="minorEastAsia"/>
          <w:sz w:val="24"/>
          <w:szCs w:val="24"/>
        </w:rPr>
        <w:t>本专业主要面向物流企业和企事业单位物流部门，培养与我国物流行业发展尤其是与</w:t>
      </w:r>
      <w:r>
        <w:rPr>
          <w:rFonts w:hint="eastAsia" w:asciiTheme="minorEastAsia" w:hAnsiTheme="minorEastAsia"/>
          <w:sz w:val="24"/>
          <w:szCs w:val="24"/>
          <w:lang w:val="en-US" w:eastAsia="zh-CN"/>
        </w:rPr>
        <w:t>海南省</w:t>
      </w:r>
      <w:r>
        <w:rPr>
          <w:rFonts w:hint="eastAsia" w:asciiTheme="minorEastAsia" w:hAnsiTheme="minorEastAsia"/>
          <w:sz w:val="24"/>
          <w:szCs w:val="24"/>
        </w:rPr>
        <w:t>物流行业发展相适应，德、智、体、美、劳全面发展，具有良好的职业道德和行业规范，具有基本的科学文化素养、继续学习能力和创新精神，掌握本专业领域的基础知识和基本技能，具有较强的就业能力和一定的创业能力，满足物流一线工作岗位要求的高素质劳动者和技能型人才。</w:t>
      </w:r>
    </w:p>
    <w:p>
      <w:pPr>
        <w:spacing w:line="360" w:lineRule="auto"/>
        <w:rPr>
          <w:rFonts w:asciiTheme="minorEastAsia" w:hAnsiTheme="minorEastAsia"/>
          <w:sz w:val="24"/>
          <w:szCs w:val="24"/>
        </w:rPr>
      </w:pPr>
      <w:r>
        <w:rPr>
          <w:rFonts w:hint="eastAsia" w:asciiTheme="minorEastAsia" w:hAnsiTheme="minorEastAsia"/>
          <w:sz w:val="24"/>
          <w:szCs w:val="24"/>
        </w:rPr>
        <w:t>（二）培养规格</w:t>
      </w:r>
    </w:p>
    <w:p>
      <w:pPr>
        <w:spacing w:line="360" w:lineRule="auto"/>
        <w:rPr>
          <w:rFonts w:asciiTheme="minorEastAsia" w:hAnsiTheme="minorEastAsia"/>
          <w:sz w:val="24"/>
          <w:szCs w:val="24"/>
        </w:rPr>
      </w:pPr>
      <w:r>
        <w:rPr>
          <w:rFonts w:hint="eastAsia" w:asciiTheme="minorEastAsia" w:hAnsiTheme="minorEastAsia"/>
          <w:sz w:val="24"/>
          <w:szCs w:val="24"/>
        </w:rPr>
        <w:t>本专业毕业生应具有以下职业素养、专业知识和技能：</w:t>
      </w:r>
    </w:p>
    <w:p>
      <w:pPr>
        <w:spacing w:line="360" w:lineRule="auto"/>
        <w:rPr>
          <w:rFonts w:asciiTheme="minorEastAsia" w:hAnsiTheme="minorEastAsia"/>
          <w:sz w:val="24"/>
          <w:szCs w:val="24"/>
        </w:rPr>
      </w:pPr>
      <w:r>
        <w:rPr>
          <w:rFonts w:hint="eastAsia" w:asciiTheme="minorEastAsia" w:hAnsiTheme="minorEastAsia"/>
          <w:sz w:val="24"/>
          <w:szCs w:val="24"/>
        </w:rPr>
        <w:t>1、知识学习能力</w:t>
      </w:r>
    </w:p>
    <w:p>
      <w:pPr>
        <w:spacing w:line="360" w:lineRule="auto"/>
        <w:rPr>
          <w:rFonts w:asciiTheme="minorEastAsia" w:hAnsiTheme="minorEastAsia"/>
          <w:sz w:val="24"/>
          <w:szCs w:val="24"/>
        </w:rPr>
      </w:pPr>
      <w:r>
        <w:rPr>
          <w:rFonts w:hint="eastAsia" w:asciiTheme="minorEastAsia" w:hAnsiTheme="minorEastAsia"/>
          <w:sz w:val="24"/>
          <w:szCs w:val="24"/>
        </w:rPr>
        <w:t>（1）具备国际铁路港区域经济背景下必需的文化基础知识、人文社科知识与职业劳动法律法规等运用能力；</w:t>
      </w:r>
    </w:p>
    <w:p>
      <w:pPr>
        <w:spacing w:line="360" w:lineRule="auto"/>
        <w:rPr>
          <w:rFonts w:asciiTheme="minorEastAsia" w:hAnsiTheme="minorEastAsia"/>
          <w:sz w:val="24"/>
          <w:szCs w:val="24"/>
        </w:rPr>
      </w:pPr>
      <w:r>
        <w:rPr>
          <w:rFonts w:hint="eastAsia" w:asciiTheme="minorEastAsia" w:hAnsiTheme="minorEastAsia"/>
          <w:sz w:val="24"/>
          <w:szCs w:val="24"/>
        </w:rPr>
        <w:t>（2） 能描述与物流业务相关的法律、行业政策法规、标准化要求等内容；</w:t>
      </w:r>
    </w:p>
    <w:p>
      <w:pPr>
        <w:spacing w:line="360" w:lineRule="auto"/>
        <w:rPr>
          <w:rFonts w:asciiTheme="minorEastAsia" w:hAnsiTheme="minorEastAsia"/>
          <w:sz w:val="24"/>
          <w:szCs w:val="24"/>
        </w:rPr>
      </w:pPr>
      <w:r>
        <w:rPr>
          <w:rFonts w:hint="eastAsia" w:asciiTheme="minorEastAsia" w:hAnsiTheme="minorEastAsia"/>
          <w:sz w:val="24"/>
          <w:szCs w:val="24"/>
        </w:rPr>
        <w:t>（3）具备计算机和网络相关知识；</w:t>
      </w:r>
    </w:p>
    <w:p>
      <w:pPr>
        <w:spacing w:line="360" w:lineRule="auto"/>
        <w:rPr>
          <w:rFonts w:asciiTheme="minorEastAsia" w:hAnsiTheme="minorEastAsia"/>
          <w:sz w:val="24"/>
          <w:szCs w:val="24"/>
        </w:rPr>
      </w:pPr>
      <w:r>
        <w:rPr>
          <w:rFonts w:hint="eastAsia" w:asciiTheme="minorEastAsia" w:hAnsiTheme="minorEastAsia"/>
          <w:sz w:val="24"/>
          <w:szCs w:val="24"/>
        </w:rPr>
        <w:t>（4）具备基本的专业英语知识并且能阐释物流英语专业术语；</w:t>
      </w:r>
    </w:p>
    <w:p>
      <w:pPr>
        <w:spacing w:line="360" w:lineRule="auto"/>
        <w:rPr>
          <w:rFonts w:asciiTheme="minorEastAsia" w:hAnsiTheme="minorEastAsia"/>
          <w:sz w:val="24"/>
          <w:szCs w:val="24"/>
        </w:rPr>
      </w:pPr>
      <w:r>
        <w:rPr>
          <w:rFonts w:hint="eastAsia" w:asciiTheme="minorEastAsia" w:hAnsiTheme="minorEastAsia"/>
          <w:sz w:val="24"/>
          <w:szCs w:val="24"/>
        </w:rPr>
        <w:t>（5）能说出并运用物流成本核算的基本知识；</w:t>
      </w:r>
    </w:p>
    <w:p>
      <w:pPr>
        <w:spacing w:line="360" w:lineRule="auto"/>
        <w:rPr>
          <w:rFonts w:asciiTheme="minorEastAsia" w:hAnsiTheme="minorEastAsia"/>
          <w:sz w:val="24"/>
          <w:szCs w:val="24"/>
        </w:rPr>
      </w:pPr>
      <w:r>
        <w:rPr>
          <w:rFonts w:hint="eastAsia" w:asciiTheme="minorEastAsia" w:hAnsiTheme="minorEastAsia"/>
          <w:sz w:val="24"/>
          <w:szCs w:val="24"/>
        </w:rPr>
        <w:t>（6）能分析物流营销、商务谈判等业务环节；</w:t>
      </w:r>
    </w:p>
    <w:p>
      <w:pPr>
        <w:spacing w:line="360" w:lineRule="auto"/>
        <w:rPr>
          <w:rFonts w:asciiTheme="minorEastAsia" w:hAnsiTheme="minorEastAsia"/>
          <w:sz w:val="24"/>
          <w:szCs w:val="24"/>
        </w:rPr>
      </w:pPr>
      <w:r>
        <w:rPr>
          <w:rFonts w:hint="eastAsia" w:asciiTheme="minorEastAsia" w:hAnsiTheme="minorEastAsia"/>
          <w:sz w:val="24"/>
          <w:szCs w:val="24"/>
        </w:rPr>
        <w:t>（7）熟悉仓储与配送作业的业务流程，形成对仓储与配送作业的整体认识，掌握仓库内布局及划分区域的相关知识；</w:t>
      </w:r>
    </w:p>
    <w:p>
      <w:pPr>
        <w:spacing w:line="360" w:lineRule="auto"/>
        <w:rPr>
          <w:rFonts w:asciiTheme="minorEastAsia" w:hAnsiTheme="minorEastAsia"/>
          <w:sz w:val="24"/>
          <w:szCs w:val="24"/>
        </w:rPr>
      </w:pPr>
      <w:r>
        <w:rPr>
          <w:rFonts w:hint="eastAsia" w:asciiTheme="minorEastAsia" w:hAnsiTheme="minorEastAsia"/>
          <w:sz w:val="24"/>
          <w:szCs w:val="24"/>
        </w:rPr>
        <w:t>（8）熟悉一般商品的保管保养常识；</w:t>
      </w:r>
    </w:p>
    <w:p>
      <w:pPr>
        <w:spacing w:line="360" w:lineRule="auto"/>
        <w:rPr>
          <w:rFonts w:asciiTheme="minorEastAsia" w:hAnsiTheme="minorEastAsia"/>
          <w:sz w:val="24"/>
          <w:szCs w:val="24"/>
        </w:rPr>
      </w:pPr>
      <w:r>
        <w:rPr>
          <w:rFonts w:hint="eastAsia" w:asciiTheme="minorEastAsia" w:hAnsiTheme="minorEastAsia"/>
          <w:sz w:val="24"/>
          <w:szCs w:val="24"/>
        </w:rPr>
        <w:t>（9）熟悉仓储配送作业中所使用的计量、扫描、存储、搬运等工具的相关知识；</w:t>
      </w:r>
    </w:p>
    <w:p>
      <w:pPr>
        <w:spacing w:line="360" w:lineRule="auto"/>
        <w:rPr>
          <w:rFonts w:asciiTheme="minorEastAsia" w:hAnsiTheme="minorEastAsia"/>
          <w:sz w:val="24"/>
          <w:szCs w:val="24"/>
        </w:rPr>
      </w:pPr>
      <w:r>
        <w:rPr>
          <w:rFonts w:hint="eastAsia" w:asciiTheme="minorEastAsia" w:hAnsiTheme="minorEastAsia"/>
          <w:sz w:val="24"/>
          <w:szCs w:val="24"/>
        </w:rPr>
        <w:t>（10）能说出并运用仓库安全、环保、消防等知识。</w:t>
      </w:r>
    </w:p>
    <w:p>
      <w:pPr>
        <w:spacing w:line="360" w:lineRule="auto"/>
        <w:rPr>
          <w:rFonts w:asciiTheme="minorEastAsia" w:hAnsiTheme="minorEastAsia"/>
          <w:sz w:val="24"/>
          <w:szCs w:val="24"/>
        </w:rPr>
      </w:pPr>
      <w:r>
        <w:rPr>
          <w:rFonts w:hint="eastAsia" w:asciiTheme="minorEastAsia" w:hAnsiTheme="minorEastAsia"/>
          <w:sz w:val="24"/>
          <w:szCs w:val="24"/>
        </w:rPr>
        <w:t>（11）能描述物流企业组织构架与业务流程。</w:t>
      </w:r>
    </w:p>
    <w:p>
      <w:pPr>
        <w:spacing w:line="360" w:lineRule="auto"/>
        <w:rPr>
          <w:rFonts w:asciiTheme="minorEastAsia" w:hAnsiTheme="minorEastAsia"/>
          <w:sz w:val="24"/>
          <w:szCs w:val="24"/>
        </w:rPr>
      </w:pPr>
      <w:r>
        <w:rPr>
          <w:rFonts w:hint="eastAsia" w:asciiTheme="minorEastAsia" w:hAnsiTheme="minorEastAsia"/>
          <w:sz w:val="24"/>
          <w:szCs w:val="24"/>
        </w:rPr>
        <w:t>（12）能描述货物接收与检验、入库、拣货与包装、装卸搬运、货物发运等12 个领域的业务流程与准备工作。</w:t>
      </w:r>
    </w:p>
    <w:p>
      <w:pPr>
        <w:spacing w:line="360" w:lineRule="auto"/>
        <w:rPr>
          <w:rFonts w:asciiTheme="minorEastAsia" w:hAnsiTheme="minorEastAsia"/>
          <w:sz w:val="24"/>
          <w:szCs w:val="24"/>
        </w:rPr>
      </w:pPr>
      <w:r>
        <w:rPr>
          <w:rFonts w:hint="eastAsia" w:asciiTheme="minorEastAsia" w:hAnsiTheme="minorEastAsia"/>
          <w:sz w:val="24"/>
          <w:szCs w:val="24"/>
        </w:rPr>
        <w:t>（13）能描述仓库区域布局的概况，能说出仓库内温湿度控制与调节的</w:t>
      </w:r>
    </w:p>
    <w:p>
      <w:pPr>
        <w:spacing w:line="360" w:lineRule="auto"/>
        <w:rPr>
          <w:rFonts w:asciiTheme="minorEastAsia" w:hAnsiTheme="minorEastAsia"/>
          <w:sz w:val="24"/>
          <w:szCs w:val="24"/>
        </w:rPr>
      </w:pPr>
      <w:r>
        <w:rPr>
          <w:rFonts w:hint="eastAsia" w:asciiTheme="minorEastAsia" w:hAnsiTheme="minorEastAsia"/>
          <w:sz w:val="24"/>
          <w:szCs w:val="24"/>
        </w:rPr>
        <w:t>方法及物品损耗的处理方法；</w:t>
      </w:r>
    </w:p>
    <w:p>
      <w:pPr>
        <w:spacing w:line="360" w:lineRule="auto"/>
        <w:rPr>
          <w:rFonts w:asciiTheme="minorEastAsia" w:hAnsiTheme="minorEastAsia"/>
          <w:sz w:val="24"/>
          <w:szCs w:val="24"/>
        </w:rPr>
      </w:pPr>
      <w:r>
        <w:rPr>
          <w:rFonts w:hint="eastAsia" w:asciiTheme="minorEastAsia" w:hAnsiTheme="minorEastAsia"/>
          <w:sz w:val="24"/>
          <w:szCs w:val="24"/>
        </w:rPr>
        <w:t>（14）能够针对分拣订单进行归纳、进行拣选路径优化；</w:t>
      </w:r>
    </w:p>
    <w:p>
      <w:pPr>
        <w:spacing w:line="360" w:lineRule="auto"/>
        <w:rPr>
          <w:rFonts w:asciiTheme="minorEastAsia" w:hAnsiTheme="minorEastAsia"/>
          <w:sz w:val="24"/>
          <w:szCs w:val="24"/>
        </w:rPr>
      </w:pPr>
      <w:r>
        <w:rPr>
          <w:rFonts w:hint="eastAsia" w:asciiTheme="minorEastAsia" w:hAnsiTheme="minorEastAsia"/>
          <w:sz w:val="24"/>
          <w:szCs w:val="24"/>
        </w:rPr>
        <w:t>（15）能够对比各类运输、配送方式方法；</w:t>
      </w:r>
    </w:p>
    <w:p>
      <w:pPr>
        <w:spacing w:line="360" w:lineRule="auto"/>
        <w:rPr>
          <w:rFonts w:asciiTheme="minorEastAsia" w:hAnsiTheme="minorEastAsia"/>
          <w:sz w:val="24"/>
          <w:szCs w:val="24"/>
        </w:rPr>
      </w:pPr>
      <w:r>
        <w:rPr>
          <w:rFonts w:hint="eastAsia" w:asciiTheme="minorEastAsia" w:hAnsiTheme="minorEastAsia"/>
          <w:sz w:val="24"/>
          <w:szCs w:val="24"/>
        </w:rPr>
        <w:t>（16）能够概述进出口货物报关流程；能总结运输方式选择的原则方式及要求；</w:t>
      </w:r>
    </w:p>
    <w:p>
      <w:pPr>
        <w:spacing w:line="360" w:lineRule="auto"/>
        <w:rPr>
          <w:rFonts w:asciiTheme="minorEastAsia" w:hAnsiTheme="minorEastAsia"/>
          <w:sz w:val="24"/>
          <w:szCs w:val="24"/>
        </w:rPr>
      </w:pPr>
      <w:r>
        <w:rPr>
          <w:rFonts w:hint="eastAsia" w:asciiTheme="minorEastAsia" w:hAnsiTheme="minorEastAsia"/>
          <w:sz w:val="24"/>
          <w:szCs w:val="24"/>
        </w:rPr>
        <w:t>2、技能学习能力</w:t>
      </w:r>
    </w:p>
    <w:p>
      <w:pPr>
        <w:spacing w:line="360" w:lineRule="auto"/>
        <w:rPr>
          <w:rFonts w:asciiTheme="minorEastAsia" w:hAnsiTheme="minorEastAsia"/>
          <w:sz w:val="24"/>
          <w:szCs w:val="24"/>
        </w:rPr>
      </w:pPr>
      <w:r>
        <w:rPr>
          <w:rFonts w:hint="eastAsia" w:asciiTheme="minorEastAsia" w:hAnsiTheme="minorEastAsia"/>
          <w:sz w:val="24"/>
          <w:szCs w:val="24"/>
        </w:rPr>
        <w:t>（1）能够依照相应单据，详细的校验货物包装，评估校验结果；</w:t>
      </w:r>
    </w:p>
    <w:p>
      <w:pPr>
        <w:spacing w:line="360" w:lineRule="auto"/>
        <w:rPr>
          <w:rFonts w:asciiTheme="minorEastAsia" w:hAnsiTheme="minorEastAsia"/>
          <w:sz w:val="24"/>
          <w:szCs w:val="24"/>
        </w:rPr>
      </w:pPr>
      <w:r>
        <w:rPr>
          <w:rFonts w:hint="eastAsia" w:asciiTheme="minorEastAsia" w:hAnsiTheme="minorEastAsia"/>
          <w:sz w:val="24"/>
          <w:szCs w:val="24"/>
        </w:rPr>
        <w:t>（2）能够填制入库相关单证，系统的记录接受合法的货物并处理问题货物采取恰当的措施；</w:t>
      </w:r>
    </w:p>
    <w:p>
      <w:pPr>
        <w:spacing w:line="360" w:lineRule="auto"/>
        <w:rPr>
          <w:rFonts w:asciiTheme="minorEastAsia" w:hAnsiTheme="minorEastAsia"/>
          <w:sz w:val="24"/>
          <w:szCs w:val="24"/>
        </w:rPr>
      </w:pPr>
      <w:r>
        <w:rPr>
          <w:rFonts w:hint="eastAsia" w:asciiTheme="minorEastAsia" w:hAnsiTheme="minorEastAsia"/>
          <w:sz w:val="24"/>
          <w:szCs w:val="24"/>
        </w:rPr>
        <w:t>（3）能够按照商业法规和合同的规定组织安排卸货；</w:t>
      </w:r>
    </w:p>
    <w:p>
      <w:pPr>
        <w:spacing w:line="360" w:lineRule="auto"/>
        <w:rPr>
          <w:rFonts w:asciiTheme="minorEastAsia" w:hAnsiTheme="minorEastAsia"/>
          <w:sz w:val="24"/>
          <w:szCs w:val="24"/>
        </w:rPr>
      </w:pPr>
      <w:r>
        <w:rPr>
          <w:rFonts w:hint="eastAsia" w:asciiTheme="minorEastAsia" w:hAnsiTheme="minorEastAsia"/>
          <w:sz w:val="24"/>
          <w:szCs w:val="24"/>
        </w:rPr>
        <w:t>（4）能够规划接受货物的储位并合理分配商品储位；</w:t>
      </w:r>
    </w:p>
    <w:p>
      <w:pPr>
        <w:spacing w:line="360" w:lineRule="auto"/>
        <w:rPr>
          <w:rFonts w:asciiTheme="minorEastAsia" w:hAnsiTheme="minorEastAsia"/>
          <w:sz w:val="24"/>
          <w:szCs w:val="24"/>
        </w:rPr>
      </w:pPr>
      <w:r>
        <w:rPr>
          <w:rFonts w:hint="eastAsia" w:asciiTheme="minorEastAsia" w:hAnsiTheme="minorEastAsia"/>
          <w:sz w:val="24"/>
          <w:szCs w:val="24"/>
        </w:rPr>
        <w:t>（5）能够对商品进行正确堆码和苫垫；</w:t>
      </w:r>
    </w:p>
    <w:p>
      <w:pPr>
        <w:spacing w:line="360" w:lineRule="auto"/>
        <w:rPr>
          <w:rFonts w:asciiTheme="minorEastAsia" w:hAnsiTheme="minorEastAsia"/>
          <w:sz w:val="24"/>
          <w:szCs w:val="24"/>
        </w:rPr>
      </w:pPr>
      <w:r>
        <w:rPr>
          <w:rFonts w:hint="eastAsia" w:asciiTheme="minorEastAsia" w:hAnsiTheme="minorEastAsia"/>
          <w:sz w:val="24"/>
          <w:szCs w:val="24"/>
        </w:rPr>
        <w:t>（6）能够根据仓库物品的特性和仓库条件制定合理的物品养护方案；</w:t>
      </w:r>
    </w:p>
    <w:p>
      <w:pPr>
        <w:spacing w:line="360" w:lineRule="auto"/>
        <w:rPr>
          <w:rFonts w:asciiTheme="minorEastAsia" w:hAnsiTheme="minorEastAsia"/>
          <w:sz w:val="24"/>
          <w:szCs w:val="24"/>
        </w:rPr>
      </w:pPr>
      <w:r>
        <w:rPr>
          <w:rFonts w:hint="eastAsia" w:asciiTheme="minorEastAsia" w:hAnsiTheme="minorEastAsia"/>
          <w:sz w:val="24"/>
          <w:szCs w:val="24"/>
        </w:rPr>
        <w:t>（7）能够正确使用为适度测量仪测量仓库内外的温湿度；</w:t>
      </w:r>
    </w:p>
    <w:p>
      <w:pPr>
        <w:spacing w:line="360" w:lineRule="auto"/>
        <w:rPr>
          <w:rFonts w:asciiTheme="minorEastAsia" w:hAnsiTheme="minorEastAsia"/>
          <w:sz w:val="24"/>
          <w:szCs w:val="24"/>
        </w:rPr>
      </w:pPr>
      <w:r>
        <w:rPr>
          <w:rFonts w:hint="eastAsia" w:asciiTheme="minorEastAsia" w:hAnsiTheme="minorEastAsia"/>
          <w:sz w:val="24"/>
          <w:szCs w:val="24"/>
        </w:rPr>
        <w:t>（8）能够熟练使用手动搬运车和液压叉车进行货品上架操作；独立或与他人合作完成商品盘点；</w:t>
      </w:r>
    </w:p>
    <w:p>
      <w:pPr>
        <w:spacing w:line="360" w:lineRule="auto"/>
        <w:rPr>
          <w:rFonts w:asciiTheme="minorEastAsia" w:hAnsiTheme="minorEastAsia"/>
          <w:sz w:val="24"/>
          <w:szCs w:val="24"/>
        </w:rPr>
      </w:pPr>
      <w:r>
        <w:rPr>
          <w:rFonts w:hint="eastAsia" w:asciiTheme="minorEastAsia" w:hAnsiTheme="minorEastAsia"/>
          <w:sz w:val="24"/>
          <w:szCs w:val="24"/>
        </w:rPr>
        <w:t>（9）能够结合仓储管理系统完成移库作业、补货作业；</w:t>
      </w:r>
    </w:p>
    <w:p>
      <w:pPr>
        <w:spacing w:line="360" w:lineRule="auto"/>
        <w:rPr>
          <w:rFonts w:asciiTheme="minorEastAsia" w:hAnsiTheme="minorEastAsia"/>
          <w:sz w:val="24"/>
          <w:szCs w:val="24"/>
        </w:rPr>
      </w:pPr>
      <w:r>
        <w:rPr>
          <w:rFonts w:hint="eastAsia" w:asciiTheme="minorEastAsia" w:hAnsiTheme="minorEastAsia"/>
          <w:sz w:val="24"/>
          <w:szCs w:val="24"/>
        </w:rPr>
        <w:t>（10）能正确安全的使用装卸搬运设施设备并完成装卸搬运作业；</w:t>
      </w:r>
    </w:p>
    <w:p>
      <w:pPr>
        <w:spacing w:line="360" w:lineRule="auto"/>
        <w:rPr>
          <w:rFonts w:asciiTheme="minorEastAsia" w:hAnsiTheme="minorEastAsia"/>
          <w:sz w:val="24"/>
          <w:szCs w:val="24"/>
        </w:rPr>
      </w:pPr>
      <w:r>
        <w:rPr>
          <w:rFonts w:hint="eastAsia" w:asciiTheme="minorEastAsia" w:hAnsiTheme="minorEastAsia"/>
          <w:sz w:val="24"/>
          <w:szCs w:val="24"/>
        </w:rPr>
        <w:t>（11）能够使用常用的装卸搬运设备、计量器具、保管设备、养护检验设备、监控设备、分拣设备、包装设备等能力并会简单维护；</w:t>
      </w:r>
    </w:p>
    <w:p>
      <w:pPr>
        <w:spacing w:line="360" w:lineRule="auto"/>
        <w:rPr>
          <w:rFonts w:asciiTheme="minorEastAsia" w:hAnsiTheme="minorEastAsia"/>
          <w:sz w:val="24"/>
          <w:szCs w:val="24"/>
        </w:rPr>
      </w:pPr>
      <w:r>
        <w:rPr>
          <w:rFonts w:hint="eastAsia" w:asciiTheme="minorEastAsia" w:hAnsiTheme="minorEastAsia"/>
          <w:sz w:val="24"/>
          <w:szCs w:val="24"/>
        </w:rPr>
        <w:t>（12)能够严格执行仓库安全规定，熟练使用各种消防器材；</w:t>
      </w:r>
    </w:p>
    <w:p>
      <w:pPr>
        <w:spacing w:line="360" w:lineRule="auto"/>
        <w:rPr>
          <w:rFonts w:asciiTheme="minorEastAsia" w:hAnsiTheme="minorEastAsia"/>
          <w:sz w:val="24"/>
          <w:szCs w:val="24"/>
        </w:rPr>
      </w:pPr>
      <w:r>
        <w:rPr>
          <w:rFonts w:hint="eastAsia" w:asciiTheme="minorEastAsia" w:hAnsiTheme="minorEastAsia"/>
          <w:sz w:val="24"/>
          <w:szCs w:val="24"/>
        </w:rPr>
        <w:t>（13）学生能够运用现有信息技术和通信技术设计配载图进行货物积载配载；</w:t>
      </w:r>
    </w:p>
    <w:p>
      <w:pPr>
        <w:spacing w:line="360" w:lineRule="auto"/>
        <w:rPr>
          <w:rFonts w:asciiTheme="minorEastAsia" w:hAnsiTheme="minorEastAsia"/>
          <w:sz w:val="24"/>
          <w:szCs w:val="24"/>
        </w:rPr>
      </w:pPr>
      <w:r>
        <w:rPr>
          <w:rFonts w:hint="eastAsia" w:asciiTheme="minorEastAsia" w:hAnsiTheme="minorEastAsia"/>
          <w:sz w:val="24"/>
          <w:szCs w:val="24"/>
        </w:rPr>
        <w:t>（14）能针对不同货物利用包装设施设备实施包装技术；</w:t>
      </w:r>
    </w:p>
    <w:p>
      <w:pPr>
        <w:spacing w:line="360" w:lineRule="auto"/>
        <w:rPr>
          <w:rFonts w:asciiTheme="minorEastAsia" w:hAnsiTheme="minorEastAsia"/>
          <w:sz w:val="24"/>
          <w:szCs w:val="24"/>
        </w:rPr>
      </w:pPr>
      <w:r>
        <w:rPr>
          <w:rFonts w:hint="eastAsia" w:asciiTheme="minorEastAsia" w:hAnsiTheme="minorEastAsia"/>
          <w:sz w:val="24"/>
          <w:szCs w:val="24"/>
        </w:rPr>
        <w:t>（15）能够完成装载货物作业并完成铅封、加固、检查作业；</w:t>
      </w:r>
    </w:p>
    <w:p>
      <w:pPr>
        <w:spacing w:line="360" w:lineRule="auto"/>
        <w:rPr>
          <w:rFonts w:asciiTheme="minorEastAsia" w:hAnsiTheme="minorEastAsia"/>
          <w:b/>
          <w:sz w:val="24"/>
          <w:szCs w:val="24"/>
        </w:rPr>
      </w:pPr>
      <w:r>
        <w:rPr>
          <w:rFonts w:hint="eastAsia" w:asciiTheme="minorEastAsia" w:hAnsiTheme="minorEastAsia"/>
          <w:b/>
          <w:sz w:val="24"/>
          <w:szCs w:val="24"/>
        </w:rPr>
        <w:t>六、课程设置及要求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本专业课程设置分为公共基础课和专业技能课。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公共基础课包括德育课、体育与健康、公共艺术、历史、以及其他自然科学和人文科学类基础课。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专业技能课包括专业核心课、专业（技能）方向课，实习实训是专业技能课教学的重要内容，含校内外实训、顶岗实习等多种形式。</w:t>
      </w:r>
    </w:p>
    <w:p>
      <w:pPr>
        <w:numPr>
          <w:ilvl w:val="0"/>
          <w:numId w:val="1"/>
        </w:numPr>
        <w:spacing w:line="360" w:lineRule="auto"/>
        <w:rPr>
          <w:rFonts w:asciiTheme="minorEastAsia" w:hAnsiTheme="minorEastAsia"/>
          <w:b/>
          <w:sz w:val="24"/>
          <w:szCs w:val="24"/>
        </w:rPr>
      </w:pPr>
      <w:r>
        <w:rPr>
          <w:rFonts w:hint="eastAsia" w:asciiTheme="minorEastAsia" w:hAnsiTheme="minorEastAsia"/>
          <w:b/>
          <w:sz w:val="24"/>
          <w:szCs w:val="24"/>
        </w:rPr>
        <w:t>公共基础课</w:t>
      </w:r>
    </w:p>
    <w:tbl>
      <w:tblPr>
        <w:tblStyle w:val="4"/>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276"/>
        <w:gridCol w:w="7235"/>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562" w:type="dxa"/>
            <w:shd w:val="clear" w:color="auto" w:fill="auto"/>
            <w:vAlign w:val="center"/>
          </w:tcPr>
          <w:p>
            <w:pPr>
              <w:topLinePunct/>
              <w:spacing w:line="276" w:lineRule="auto"/>
              <w:rPr>
                <w:rFonts w:asciiTheme="minorEastAsia" w:hAnsiTheme="minorEastAsia"/>
                <w:b/>
                <w:sz w:val="24"/>
                <w:szCs w:val="24"/>
              </w:rPr>
            </w:pPr>
            <w:r>
              <w:rPr>
                <w:rFonts w:hint="eastAsia" w:asciiTheme="minorEastAsia" w:hAnsiTheme="minorEastAsia"/>
                <w:b/>
                <w:sz w:val="24"/>
                <w:szCs w:val="24"/>
              </w:rPr>
              <w:t>序号</w:t>
            </w:r>
          </w:p>
        </w:tc>
        <w:tc>
          <w:tcPr>
            <w:tcW w:w="1276" w:type="dxa"/>
            <w:shd w:val="clear" w:color="auto" w:fill="auto"/>
            <w:vAlign w:val="center"/>
          </w:tcPr>
          <w:p>
            <w:pPr>
              <w:topLinePunct/>
              <w:spacing w:line="276" w:lineRule="auto"/>
              <w:rPr>
                <w:rFonts w:asciiTheme="minorEastAsia" w:hAnsiTheme="minorEastAsia"/>
                <w:b/>
                <w:sz w:val="24"/>
                <w:szCs w:val="24"/>
              </w:rPr>
            </w:pPr>
            <w:r>
              <w:rPr>
                <w:rFonts w:hint="eastAsia" w:asciiTheme="minorEastAsia" w:hAnsiTheme="minorEastAsia"/>
                <w:b/>
                <w:sz w:val="24"/>
                <w:szCs w:val="24"/>
              </w:rPr>
              <w:t>课程名称</w:t>
            </w:r>
          </w:p>
        </w:tc>
        <w:tc>
          <w:tcPr>
            <w:tcW w:w="7235" w:type="dxa"/>
            <w:shd w:val="clear" w:color="auto" w:fill="auto"/>
            <w:vAlign w:val="center"/>
          </w:tcPr>
          <w:p>
            <w:pPr>
              <w:topLinePunct/>
              <w:spacing w:line="276" w:lineRule="auto"/>
              <w:ind w:left="27"/>
              <w:rPr>
                <w:rFonts w:asciiTheme="minorEastAsia" w:hAnsiTheme="minorEastAsia"/>
                <w:b/>
                <w:sz w:val="24"/>
                <w:szCs w:val="24"/>
              </w:rPr>
            </w:pPr>
            <w:r>
              <w:rPr>
                <w:rFonts w:hint="eastAsia" w:asciiTheme="minorEastAsia" w:hAnsiTheme="minorEastAsia"/>
                <w:b/>
                <w:sz w:val="24"/>
                <w:szCs w:val="24"/>
              </w:rPr>
              <w:t>主要教学内容和要求</w:t>
            </w:r>
          </w:p>
        </w:tc>
        <w:tc>
          <w:tcPr>
            <w:tcW w:w="850" w:type="dxa"/>
            <w:shd w:val="clear" w:color="auto" w:fill="auto"/>
            <w:vAlign w:val="center"/>
          </w:tcPr>
          <w:p>
            <w:pPr>
              <w:topLinePunct/>
              <w:spacing w:line="276" w:lineRule="auto"/>
              <w:rPr>
                <w:rFonts w:asciiTheme="minorEastAsia" w:hAnsiTheme="minorEastAsia"/>
                <w:b/>
                <w:sz w:val="24"/>
                <w:szCs w:val="24"/>
              </w:rPr>
            </w:pPr>
            <w:r>
              <w:rPr>
                <w:rFonts w:hint="eastAsia" w:asciiTheme="minorEastAsia" w:hAnsiTheme="minorEastAsia"/>
                <w:b/>
                <w:sz w:val="24"/>
                <w:szCs w:val="24"/>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562"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1</w:t>
            </w:r>
          </w:p>
        </w:tc>
        <w:tc>
          <w:tcPr>
            <w:tcW w:w="1276" w:type="dxa"/>
            <w:shd w:val="clear" w:color="auto" w:fill="auto"/>
            <w:vAlign w:val="center"/>
          </w:tcPr>
          <w:p>
            <w:pPr>
              <w:topLinePunct/>
              <w:spacing w:line="360" w:lineRule="auto"/>
              <w:rPr>
                <w:rFonts w:asciiTheme="minorEastAsia" w:hAnsiTheme="minorEastAsia"/>
                <w:color w:val="FF0000"/>
                <w:sz w:val="24"/>
                <w:szCs w:val="24"/>
              </w:rPr>
            </w:pPr>
            <w:r>
              <w:rPr>
                <w:rFonts w:hint="eastAsia" w:ascii="宋体" w:hAnsi="宋体"/>
                <w:szCs w:val="21"/>
              </w:rPr>
              <w:t>政治经济与社会</w:t>
            </w:r>
          </w:p>
        </w:tc>
        <w:tc>
          <w:tcPr>
            <w:tcW w:w="7235" w:type="dxa"/>
            <w:shd w:val="clear" w:color="auto" w:fill="auto"/>
            <w:vAlign w:val="center"/>
          </w:tcPr>
          <w:p>
            <w:pPr>
              <w:topLinePunct/>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政治经济与社会》经济政治与社会是中等职业学校学生必修的一门德育课。本课程以邓小平理论和“三个代表”重要思想为指导，深入贯彻落实科学发展观，对学生进行马克思主义相关基本观点教育和我国社会主义经济、政治、文化与社会建设常识教育。其任务是使学生认同我国的经济、政治制度，了解所处的文化和社会环境，树立中国特色社会主义共同理想，积极投身我国经济、政治、文化、社会建设。</w:t>
            </w:r>
          </w:p>
        </w:tc>
        <w:tc>
          <w:tcPr>
            <w:tcW w:w="850" w:type="dxa"/>
            <w:shd w:val="clear" w:color="auto" w:fill="auto"/>
            <w:vAlign w:val="center"/>
          </w:tcPr>
          <w:p>
            <w:pPr>
              <w:topLinePunct/>
              <w:spacing w:line="360" w:lineRule="auto"/>
              <w:rPr>
                <w:rFonts w:asciiTheme="minorEastAsia" w:hAnsiTheme="minorEastAsia"/>
                <w:sz w:val="24"/>
                <w:szCs w:val="24"/>
              </w:rPr>
            </w:pPr>
            <w:r>
              <w:rPr>
                <w:rFonts w:asciiTheme="minorEastAsia" w:hAnsiTheme="minorEastAsia"/>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2</w:t>
            </w:r>
          </w:p>
        </w:tc>
        <w:tc>
          <w:tcPr>
            <w:tcW w:w="1276" w:type="dxa"/>
            <w:shd w:val="clear" w:color="auto" w:fill="auto"/>
            <w:vAlign w:val="center"/>
          </w:tcPr>
          <w:p>
            <w:pPr>
              <w:topLinePunct/>
              <w:spacing w:line="360" w:lineRule="auto"/>
              <w:rPr>
                <w:rFonts w:asciiTheme="minorEastAsia" w:hAnsiTheme="minorEastAsia"/>
                <w:color w:val="FF0000"/>
                <w:sz w:val="24"/>
                <w:szCs w:val="24"/>
              </w:rPr>
            </w:pPr>
            <w:r>
              <w:rPr>
                <w:rFonts w:hint="eastAsia" w:ascii="宋体" w:hAnsi="宋体"/>
                <w:szCs w:val="21"/>
              </w:rPr>
              <w:t>职业生涯规划</w:t>
            </w:r>
          </w:p>
        </w:tc>
        <w:tc>
          <w:tcPr>
            <w:tcW w:w="7235" w:type="dxa"/>
            <w:shd w:val="clear" w:color="auto" w:fill="auto"/>
            <w:vAlign w:val="center"/>
          </w:tcPr>
          <w:p>
            <w:pPr>
              <w:topLinePunct/>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职业生涯规划》职业生涯规划是中等职业学校学生必修的一门德育课。本课程以邓小平理论、“三个代表”重要思想为指导，贯彻落实科学发展观，对学生进行职业生涯教育和职业理想教育。其任务是引导学生树立正确的职业观念和职业理想，学会根据社会需要和自身特点进行职业生涯规划，并以此规范和调整自己的行为，为顺利就业、创业创造条件。</w:t>
            </w:r>
          </w:p>
        </w:tc>
        <w:tc>
          <w:tcPr>
            <w:tcW w:w="850" w:type="dxa"/>
            <w:shd w:val="clear" w:color="auto" w:fill="auto"/>
            <w:vAlign w:val="center"/>
          </w:tcPr>
          <w:p>
            <w:pPr>
              <w:topLinePunct/>
              <w:spacing w:line="360" w:lineRule="auto"/>
              <w:rPr>
                <w:rFonts w:asciiTheme="minorEastAsia" w:hAnsiTheme="minorEastAsia"/>
                <w:sz w:val="24"/>
                <w:szCs w:val="24"/>
              </w:rPr>
            </w:pPr>
            <w:r>
              <w:rPr>
                <w:rFonts w:asciiTheme="minorEastAsia" w:hAnsiTheme="minorEastAsia"/>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3</w:t>
            </w:r>
          </w:p>
        </w:tc>
        <w:tc>
          <w:tcPr>
            <w:tcW w:w="1276" w:type="dxa"/>
            <w:shd w:val="clear" w:color="auto" w:fill="auto"/>
            <w:vAlign w:val="center"/>
          </w:tcPr>
          <w:p>
            <w:pPr>
              <w:topLinePunct/>
              <w:spacing w:line="360" w:lineRule="auto"/>
              <w:rPr>
                <w:rFonts w:asciiTheme="minorEastAsia" w:hAnsiTheme="minorEastAsia"/>
                <w:color w:val="auto"/>
                <w:sz w:val="24"/>
                <w:szCs w:val="24"/>
              </w:rPr>
            </w:pPr>
            <w:r>
              <w:rPr>
                <w:rFonts w:hint="eastAsia" w:asciiTheme="minorEastAsia" w:hAnsiTheme="minorEastAsia"/>
                <w:color w:val="auto"/>
                <w:sz w:val="24"/>
                <w:szCs w:val="24"/>
              </w:rPr>
              <w:t>哲学与人生</w:t>
            </w:r>
          </w:p>
        </w:tc>
        <w:tc>
          <w:tcPr>
            <w:tcW w:w="7235" w:type="dxa"/>
            <w:shd w:val="clear" w:color="auto" w:fill="auto"/>
            <w:vAlign w:val="center"/>
          </w:tcPr>
          <w:p>
            <w:pPr>
              <w:topLinePunct/>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哲学与人生》是中等职业学校学生必修的一门德育课程。本课程以邓小平理论和“三个代表”重要思想为指导，深入贯彻落实科学发展观，对学生进行马克思主义哲学基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w:t>
            </w:r>
          </w:p>
        </w:tc>
        <w:tc>
          <w:tcPr>
            <w:tcW w:w="850" w:type="dxa"/>
            <w:shd w:val="clear" w:color="auto" w:fill="auto"/>
            <w:vAlign w:val="center"/>
          </w:tcPr>
          <w:p>
            <w:pPr>
              <w:topLinePunct/>
              <w:spacing w:line="360" w:lineRule="auto"/>
              <w:rPr>
                <w:rFonts w:asciiTheme="minorEastAsia" w:hAnsiTheme="minorEastAsia"/>
                <w:sz w:val="24"/>
                <w:szCs w:val="24"/>
              </w:rPr>
            </w:pPr>
            <w:r>
              <w:rPr>
                <w:rFonts w:asciiTheme="minorEastAsia" w:hAnsiTheme="minorEastAsia"/>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4</w:t>
            </w:r>
          </w:p>
        </w:tc>
        <w:tc>
          <w:tcPr>
            <w:tcW w:w="1276" w:type="dxa"/>
            <w:shd w:val="clear" w:color="auto" w:fill="auto"/>
            <w:vAlign w:val="center"/>
          </w:tcPr>
          <w:p>
            <w:pPr>
              <w:topLinePunct/>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职业道德与法</w:t>
            </w:r>
            <w:r>
              <w:rPr>
                <w:rFonts w:hint="eastAsia" w:asciiTheme="minorEastAsia" w:hAnsiTheme="minorEastAsia"/>
                <w:sz w:val="24"/>
                <w:szCs w:val="24"/>
                <w:lang w:eastAsia="zh-CN"/>
              </w:rPr>
              <w:t>律</w:t>
            </w:r>
          </w:p>
        </w:tc>
        <w:tc>
          <w:tcPr>
            <w:tcW w:w="7235" w:type="dxa"/>
            <w:shd w:val="clear" w:color="auto" w:fill="auto"/>
            <w:vAlign w:val="center"/>
          </w:tcPr>
          <w:p>
            <w:pPr>
              <w:topLinePunct/>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职业道德与法律》是中等职业学校学生必修的一门德育课程。本课程以邓小平理论和“三个代表”重要思想为指导，深入贯彻落实科学发展观，对学生进行道德教育和法制教育。其任务是提高学生的职业道德素质和法律素质，引导学生树立社会主义荣辱观，增强社会主义法治意识。</w:t>
            </w:r>
          </w:p>
        </w:tc>
        <w:tc>
          <w:tcPr>
            <w:tcW w:w="850" w:type="dxa"/>
            <w:shd w:val="clear" w:color="auto" w:fill="auto"/>
            <w:vAlign w:val="center"/>
          </w:tcPr>
          <w:p>
            <w:pPr>
              <w:topLinePunct/>
              <w:spacing w:line="360" w:lineRule="auto"/>
              <w:rPr>
                <w:rFonts w:asciiTheme="minorEastAsia" w:hAnsiTheme="minorEastAsia"/>
                <w:sz w:val="24"/>
                <w:szCs w:val="24"/>
              </w:rPr>
            </w:pPr>
            <w:r>
              <w:rPr>
                <w:rFonts w:asciiTheme="minorEastAsia" w:hAnsiTheme="minorEastAsia"/>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5</w:t>
            </w:r>
          </w:p>
        </w:tc>
        <w:tc>
          <w:tcPr>
            <w:tcW w:w="1276"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语文</w:t>
            </w:r>
          </w:p>
        </w:tc>
        <w:tc>
          <w:tcPr>
            <w:tcW w:w="7235" w:type="dxa"/>
            <w:shd w:val="clear" w:color="auto" w:fill="auto"/>
            <w:vAlign w:val="center"/>
          </w:tcPr>
          <w:p>
            <w:pPr>
              <w:topLinePunct/>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语文》课程是本专业学生必修的一门公共基础课程。本课程的任务是：指导学生正确理解与运用祖国的语言文字，注重基本技能的训练和思维发展，加强语文实践。通过学习，要求学生提高语文的应用能力，为综合职业能力的形成以及继续学习奠定基础。</w:t>
            </w:r>
          </w:p>
        </w:tc>
        <w:tc>
          <w:tcPr>
            <w:tcW w:w="850" w:type="dxa"/>
            <w:shd w:val="clear" w:color="auto" w:fill="auto"/>
            <w:vAlign w:val="center"/>
          </w:tcPr>
          <w:p>
            <w:pPr>
              <w:topLinePunct/>
              <w:spacing w:line="360" w:lineRule="auto"/>
              <w:rPr>
                <w:rFonts w:asciiTheme="minorEastAsia" w:hAnsiTheme="minorEastAsia"/>
                <w:sz w:val="24"/>
                <w:szCs w:val="24"/>
              </w:rPr>
            </w:pPr>
            <w:r>
              <w:rPr>
                <w:rFonts w:asciiTheme="minorEastAsia" w:hAnsiTheme="minorEastAsia"/>
                <w:sz w:val="24"/>
                <w:szCs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6</w:t>
            </w:r>
          </w:p>
        </w:tc>
        <w:tc>
          <w:tcPr>
            <w:tcW w:w="1276"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数学</w:t>
            </w:r>
          </w:p>
        </w:tc>
        <w:tc>
          <w:tcPr>
            <w:tcW w:w="7235" w:type="dxa"/>
            <w:shd w:val="clear" w:color="auto" w:fill="auto"/>
            <w:vAlign w:val="center"/>
          </w:tcPr>
          <w:p>
            <w:pPr>
              <w:topLinePunct/>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数学》课程是本专业学生必修的一门公共基础课程。本课程主要讲授代数、三角、平面解析几何、立体几何的基本内容，使学生掌握必要的数学基础，培养学生的计算技能、计算工具使用技能和数据处理技能；培养学生的观察能力、空间想象能力、分析与解决问题能力和数学思维能力；使学生逐步养成良好的学习习惯、实践意识、创新意识和实事求是的科学态度。</w:t>
            </w:r>
          </w:p>
        </w:tc>
        <w:tc>
          <w:tcPr>
            <w:tcW w:w="850" w:type="dxa"/>
            <w:shd w:val="clear" w:color="auto" w:fill="auto"/>
            <w:vAlign w:val="center"/>
          </w:tcPr>
          <w:p>
            <w:pPr>
              <w:topLinePunct/>
              <w:spacing w:line="360" w:lineRule="auto"/>
              <w:rPr>
                <w:rFonts w:asciiTheme="minorEastAsia" w:hAnsiTheme="minorEastAsia"/>
                <w:sz w:val="24"/>
                <w:szCs w:val="24"/>
              </w:rPr>
            </w:pPr>
            <w:r>
              <w:rPr>
                <w:rFonts w:asciiTheme="minorEastAsia" w:hAnsiTheme="minorEastAsia"/>
                <w:sz w:val="24"/>
                <w:szCs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7</w:t>
            </w:r>
          </w:p>
        </w:tc>
        <w:tc>
          <w:tcPr>
            <w:tcW w:w="1276"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英语</w:t>
            </w:r>
          </w:p>
        </w:tc>
        <w:tc>
          <w:tcPr>
            <w:tcW w:w="7235" w:type="dxa"/>
            <w:shd w:val="clear" w:color="auto" w:fill="auto"/>
            <w:vAlign w:val="center"/>
          </w:tcPr>
          <w:p>
            <w:pPr>
              <w:topLinePunct/>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英语》课程是本专业学生必修的一门公共基础课程。本课程通过基本词汇和基础语法的教学，培养学生英语听、说、读、写等语言技能，初步形成英语的实际应用能力；使学生掌握学习策略，提高自主学习能力；使学生了解、认识中西方文化差异，培养正确的情感、态度和价值观，为学生的职业生涯、继续学习和终身发展奠定基础。</w:t>
            </w:r>
          </w:p>
        </w:tc>
        <w:tc>
          <w:tcPr>
            <w:tcW w:w="850" w:type="dxa"/>
            <w:shd w:val="clear" w:color="auto" w:fill="auto"/>
            <w:vAlign w:val="center"/>
          </w:tcPr>
          <w:p>
            <w:pPr>
              <w:topLinePunct/>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8</w:t>
            </w:r>
          </w:p>
        </w:tc>
        <w:tc>
          <w:tcPr>
            <w:tcW w:w="1276"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计算机应用基础</w:t>
            </w:r>
          </w:p>
        </w:tc>
        <w:tc>
          <w:tcPr>
            <w:tcW w:w="7235" w:type="dxa"/>
            <w:shd w:val="clear" w:color="auto" w:fill="auto"/>
            <w:vAlign w:val="center"/>
          </w:tcPr>
          <w:p>
            <w:pPr>
              <w:topLinePunct/>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计算机应用基础》是本专业学生必修的一门公共基础课程，主要内容是学习计算机应用基础知识，提高学生计算机基本操作、办公应用、网络应用、多媒体技术应用等方面技能；培养学生应用计算机解决工作与生活中实际问题的能力，使学生能够根据职业需求运用计算机获取信息、处理信息、分析信息、发布信息，逐渐养成独立思考、主动探究的学习习惯，提升学生的信息运用能力。</w:t>
            </w:r>
          </w:p>
        </w:tc>
        <w:tc>
          <w:tcPr>
            <w:tcW w:w="850" w:type="dxa"/>
            <w:shd w:val="clear" w:color="auto" w:fill="auto"/>
            <w:vAlign w:val="center"/>
          </w:tcPr>
          <w:p>
            <w:pPr>
              <w:topLinePunct/>
              <w:spacing w:line="360" w:lineRule="auto"/>
              <w:rPr>
                <w:rFonts w:asciiTheme="minorEastAsia" w:hAnsiTheme="minorEastAsia"/>
                <w:sz w:val="24"/>
                <w:szCs w:val="24"/>
              </w:rPr>
            </w:pPr>
            <w:r>
              <w:rPr>
                <w:rFonts w:asciiTheme="minorEastAsia" w:hAnsiTheme="minorEastAsia"/>
                <w:sz w:val="24"/>
                <w:szCs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9</w:t>
            </w:r>
          </w:p>
        </w:tc>
        <w:tc>
          <w:tcPr>
            <w:tcW w:w="1276"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体育与健康</w:t>
            </w:r>
          </w:p>
        </w:tc>
        <w:tc>
          <w:tcPr>
            <w:tcW w:w="7235" w:type="dxa"/>
            <w:shd w:val="clear" w:color="auto" w:fill="auto"/>
            <w:vAlign w:val="center"/>
          </w:tcPr>
          <w:p>
            <w:pPr>
              <w:topLinePunct/>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体育与健康》课程是本专业学生必修的一门公共基础课程。本课程主要进行体育基本知识的教学、体育技能和方法基本技能的训练以及健康教育专题讲座，使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c>
          <w:tcPr>
            <w:tcW w:w="850" w:type="dxa"/>
            <w:shd w:val="clear" w:color="auto" w:fill="auto"/>
            <w:vAlign w:val="center"/>
          </w:tcPr>
          <w:p>
            <w:pPr>
              <w:topLinePunct/>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10</w:t>
            </w:r>
          </w:p>
        </w:tc>
        <w:tc>
          <w:tcPr>
            <w:tcW w:w="1276"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公共艺术</w:t>
            </w:r>
          </w:p>
        </w:tc>
        <w:tc>
          <w:tcPr>
            <w:tcW w:w="7235" w:type="dxa"/>
            <w:shd w:val="clear" w:color="auto" w:fill="auto"/>
            <w:vAlign w:val="center"/>
          </w:tcPr>
          <w:p>
            <w:pPr>
              <w:topLinePunct/>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公共艺术》课程是本专业学生必修的一门公共基础课。本课程的任务是：通过艺术作品赏析和艺术实践活动，使学生了解或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tc>
        <w:tc>
          <w:tcPr>
            <w:tcW w:w="850" w:type="dxa"/>
            <w:shd w:val="clear" w:color="auto" w:fill="auto"/>
            <w:vAlign w:val="center"/>
          </w:tcPr>
          <w:p>
            <w:pPr>
              <w:topLinePunct/>
              <w:spacing w:line="360" w:lineRule="auto"/>
              <w:rPr>
                <w:rFonts w:asciiTheme="minorEastAsia" w:hAnsiTheme="minorEastAsia"/>
                <w:sz w:val="24"/>
                <w:szCs w:val="24"/>
              </w:rPr>
            </w:pPr>
            <w:r>
              <w:rPr>
                <w:rFonts w:asciiTheme="minorEastAsia" w:hAnsiTheme="minorEastAsia"/>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atLeast"/>
          <w:jc w:val="center"/>
        </w:trPr>
        <w:tc>
          <w:tcPr>
            <w:tcW w:w="562"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11</w:t>
            </w:r>
          </w:p>
        </w:tc>
        <w:tc>
          <w:tcPr>
            <w:tcW w:w="1276"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历史</w:t>
            </w:r>
          </w:p>
        </w:tc>
        <w:tc>
          <w:tcPr>
            <w:tcW w:w="7235" w:type="dxa"/>
            <w:shd w:val="clear" w:color="auto" w:fill="auto"/>
            <w:vAlign w:val="center"/>
          </w:tcPr>
          <w:p>
            <w:pPr>
              <w:topLinePunct/>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历史》是面向中等职业教育的规范性教材，严格按照国家教育部最新颁布的教学大纲，依据《教育部关于加快发展中等职业教育的意见》的精神编写而成。其教学目标及教学任务在于帮助初学者掌握中国历史及世界历史的发展、演变及现状，抓住历史发展的规律与特点。</w:t>
            </w:r>
          </w:p>
        </w:tc>
        <w:tc>
          <w:tcPr>
            <w:tcW w:w="850" w:type="dxa"/>
            <w:shd w:val="clear" w:color="auto" w:fill="auto"/>
            <w:vAlign w:val="center"/>
          </w:tcPr>
          <w:p>
            <w:pPr>
              <w:topLinePunct/>
              <w:spacing w:line="360" w:lineRule="auto"/>
              <w:rPr>
                <w:rFonts w:asciiTheme="minorEastAsia" w:hAnsiTheme="minorEastAsia"/>
                <w:sz w:val="24"/>
                <w:szCs w:val="24"/>
              </w:rPr>
            </w:pPr>
            <w:r>
              <w:rPr>
                <w:rFonts w:asciiTheme="minorEastAsia" w:hAnsiTheme="minorEastAsia"/>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562"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w:t>
            </w:r>
          </w:p>
        </w:tc>
        <w:tc>
          <w:tcPr>
            <w:tcW w:w="1276" w:type="dxa"/>
            <w:shd w:val="clear" w:color="auto" w:fill="auto"/>
            <w:vAlign w:val="center"/>
          </w:tcPr>
          <w:p>
            <w:pPr>
              <w:topLinePunct/>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形体</w:t>
            </w:r>
            <w:r>
              <w:rPr>
                <w:rFonts w:hint="eastAsia" w:asciiTheme="minorEastAsia" w:hAnsiTheme="minorEastAsia"/>
                <w:sz w:val="24"/>
                <w:szCs w:val="24"/>
                <w:lang w:eastAsia="zh-CN"/>
              </w:rPr>
              <w:t>及礼仪训练</w:t>
            </w:r>
          </w:p>
        </w:tc>
        <w:tc>
          <w:tcPr>
            <w:tcW w:w="7235" w:type="dxa"/>
            <w:shd w:val="clear" w:color="auto" w:fill="auto"/>
            <w:vAlign w:val="center"/>
          </w:tcPr>
          <w:p>
            <w:pPr>
              <w:topLinePunct/>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本课程以服务实战角度，从服务人员的仪容、服饰、仪态以及服务语言、各具体场景的应对规范和技巧等方面进行了介绍，以提供一个系统、规范的操作思路和行为训练。</w:t>
            </w:r>
          </w:p>
        </w:tc>
        <w:tc>
          <w:tcPr>
            <w:tcW w:w="850" w:type="dxa"/>
            <w:shd w:val="clear" w:color="auto" w:fill="auto"/>
            <w:vAlign w:val="center"/>
          </w:tcPr>
          <w:p>
            <w:pPr>
              <w:topLinePunct/>
              <w:spacing w:line="360" w:lineRule="auto"/>
              <w:rPr>
                <w:rFonts w:asciiTheme="minorEastAsia" w:hAnsiTheme="minorEastAsia"/>
                <w:sz w:val="24"/>
                <w:szCs w:val="24"/>
              </w:rPr>
            </w:pPr>
            <w:r>
              <w:rPr>
                <w:rFonts w:asciiTheme="minorEastAsia" w:hAnsiTheme="minorEastAsia"/>
                <w:sz w:val="24"/>
                <w:szCs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562"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13</w:t>
            </w:r>
          </w:p>
        </w:tc>
        <w:tc>
          <w:tcPr>
            <w:tcW w:w="1276"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劳动技术</w:t>
            </w:r>
          </w:p>
        </w:tc>
        <w:tc>
          <w:tcPr>
            <w:tcW w:w="7235" w:type="dxa"/>
            <w:shd w:val="clear" w:color="auto" w:fill="auto"/>
            <w:vAlign w:val="center"/>
          </w:tcPr>
          <w:p>
            <w:pPr>
              <w:topLinePunct/>
              <w:spacing w:line="360" w:lineRule="auto"/>
              <w:rPr>
                <w:rFonts w:asciiTheme="minorEastAsia" w:hAnsiTheme="minorEastAsia"/>
                <w:sz w:val="24"/>
                <w:szCs w:val="24"/>
              </w:rPr>
            </w:pPr>
            <w:r>
              <w:rPr>
                <w:rFonts w:hint="eastAsia" w:asciiTheme="minorEastAsia" w:hAnsiTheme="minorEastAsia"/>
                <w:sz w:val="24"/>
                <w:szCs w:val="24"/>
              </w:rPr>
              <w:t>《劳动技术》课程是全面实施素质教育、提高学生劳动技能素质的重要途径</w:t>
            </w:r>
            <w:r>
              <w:rPr>
                <w:rFonts w:asciiTheme="minorEastAsia" w:hAnsiTheme="minorEastAsia"/>
                <w:sz w:val="24"/>
                <w:szCs w:val="24"/>
              </w:rPr>
              <w:t>。在劳动技术教育的过程中，主要的方向有劳动态度的培养、劳动习惯的形成、劳动知识技能的掌握、以及劳动者职业素养的培养等。对中职学生开设劳动教育课可以帮助在校生很好的完成社会化的过程，使学生很好的适应社会</w:t>
            </w:r>
            <w:r>
              <w:rPr>
                <w:rFonts w:hint="eastAsia" w:asciiTheme="minorEastAsia" w:hAnsiTheme="minorEastAsia"/>
                <w:sz w:val="24"/>
                <w:szCs w:val="24"/>
              </w:rPr>
              <w:t>，</w:t>
            </w:r>
            <w:r>
              <w:rPr>
                <w:rFonts w:asciiTheme="minorEastAsia" w:hAnsiTheme="minorEastAsia"/>
                <w:sz w:val="24"/>
                <w:szCs w:val="24"/>
              </w:rPr>
              <w:t>成为一个合格的职业人</w:t>
            </w:r>
            <w:r>
              <w:rPr>
                <w:rFonts w:hint="eastAsia" w:asciiTheme="minorEastAsia" w:hAnsiTheme="minorEastAsia"/>
                <w:sz w:val="24"/>
                <w:szCs w:val="24"/>
              </w:rPr>
              <w:t>。</w:t>
            </w:r>
          </w:p>
        </w:tc>
        <w:tc>
          <w:tcPr>
            <w:tcW w:w="850" w:type="dxa"/>
            <w:shd w:val="clear" w:color="auto" w:fill="auto"/>
            <w:vAlign w:val="center"/>
          </w:tcPr>
          <w:p>
            <w:pPr>
              <w:topLinePunct/>
              <w:spacing w:line="360" w:lineRule="auto"/>
              <w:rPr>
                <w:rFonts w:asciiTheme="minorEastAsia" w:hAnsiTheme="minorEastAsia"/>
                <w:sz w:val="24"/>
                <w:szCs w:val="24"/>
              </w:rPr>
            </w:pPr>
            <w:r>
              <w:rPr>
                <w:rFonts w:asciiTheme="minorEastAsia" w:hAnsiTheme="minorEastAsia"/>
                <w:sz w:val="24"/>
                <w:szCs w:val="24"/>
              </w:rPr>
              <w:t>80</w:t>
            </w:r>
          </w:p>
        </w:tc>
      </w:tr>
    </w:tbl>
    <w:p>
      <w:pPr>
        <w:numPr>
          <w:ilvl w:val="0"/>
          <w:numId w:val="0"/>
        </w:numPr>
        <w:spacing w:line="360" w:lineRule="auto"/>
        <w:rPr>
          <w:rFonts w:asciiTheme="minorEastAsia" w:hAnsiTheme="minorEastAsia"/>
          <w:b/>
          <w:sz w:val="24"/>
          <w:szCs w:val="24"/>
        </w:rPr>
      </w:pPr>
    </w:p>
    <w:p>
      <w:pPr>
        <w:spacing w:line="300" w:lineRule="auto"/>
        <w:rPr>
          <w:rFonts w:asciiTheme="minorEastAsia" w:hAnsiTheme="minorEastAsia"/>
          <w:b/>
          <w:sz w:val="24"/>
          <w:szCs w:val="24"/>
        </w:rPr>
      </w:pPr>
      <w:r>
        <w:rPr>
          <w:rFonts w:hint="eastAsia" w:asciiTheme="minorEastAsia" w:hAnsiTheme="minorEastAsia"/>
          <w:b/>
          <w:sz w:val="24"/>
          <w:szCs w:val="24"/>
        </w:rPr>
        <w:t>（二）专业技能课</w:t>
      </w:r>
    </w:p>
    <w:p>
      <w:pPr>
        <w:pStyle w:val="9"/>
        <w:ind w:firstLine="0" w:firstLineChars="0"/>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专业核心课</w:t>
      </w:r>
    </w:p>
    <w:tbl>
      <w:tblPr>
        <w:tblStyle w:val="4"/>
        <w:tblW w:w="9923" w:type="dxa"/>
        <w:tblInd w:w="-856" w:type="dxa"/>
        <w:tblLayout w:type="autofit"/>
        <w:tblCellMar>
          <w:top w:w="0" w:type="dxa"/>
          <w:left w:w="108" w:type="dxa"/>
          <w:bottom w:w="0" w:type="dxa"/>
          <w:right w:w="108" w:type="dxa"/>
        </w:tblCellMar>
      </w:tblPr>
      <w:tblGrid>
        <w:gridCol w:w="709"/>
        <w:gridCol w:w="1276"/>
        <w:gridCol w:w="7088"/>
        <w:gridCol w:w="850"/>
      </w:tblGrid>
      <w:tr>
        <w:tblPrEx>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Theme="minorEastAsia" w:hAnsiTheme="minorEastAsia"/>
                <w:sz w:val="24"/>
                <w:szCs w:val="24"/>
              </w:rPr>
              <w:t>序号</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Theme="minorEastAsia" w:hAnsiTheme="minorEastAsia"/>
                <w:sz w:val="24"/>
                <w:szCs w:val="24"/>
              </w:rPr>
              <w:t>课程名称</w:t>
            </w:r>
          </w:p>
        </w:tc>
        <w:tc>
          <w:tcPr>
            <w:tcW w:w="7088" w:type="dxa"/>
            <w:tcBorders>
              <w:top w:val="single" w:color="auto" w:sz="4" w:space="0"/>
              <w:left w:val="nil"/>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Theme="minorEastAsia" w:hAnsiTheme="minorEastAsia"/>
                <w:sz w:val="24"/>
                <w:szCs w:val="24"/>
              </w:rPr>
              <w:t>主要教学内容和要求</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Theme="minorEastAsia" w:hAnsiTheme="minorEastAsia"/>
                <w:sz w:val="24"/>
                <w:szCs w:val="24"/>
              </w:rPr>
              <w:t>参考</w:t>
            </w:r>
          </w:p>
          <w:p>
            <w:pPr>
              <w:widowControl/>
              <w:spacing w:line="360" w:lineRule="auto"/>
              <w:rPr>
                <w:rFonts w:asciiTheme="minorEastAsia" w:hAnsiTheme="minorEastAsia"/>
                <w:sz w:val="24"/>
                <w:szCs w:val="24"/>
              </w:rPr>
            </w:pPr>
            <w:r>
              <w:rPr>
                <w:rFonts w:hint="eastAsia" w:asciiTheme="minorEastAsia" w:hAnsiTheme="minorEastAsia"/>
                <w:sz w:val="24"/>
                <w:szCs w:val="24"/>
              </w:rPr>
              <w:t>学时</w:t>
            </w:r>
          </w:p>
        </w:tc>
      </w:tr>
      <w:tr>
        <w:tblPrEx>
          <w:tblCellMar>
            <w:top w:w="0" w:type="dxa"/>
            <w:left w:w="108" w:type="dxa"/>
            <w:bottom w:w="0" w:type="dxa"/>
            <w:right w:w="108" w:type="dxa"/>
          </w:tblCellMar>
        </w:tblPrEx>
        <w:trPr>
          <w:trHeight w:val="660" w:hRule="atLeast"/>
        </w:trPr>
        <w:tc>
          <w:tcPr>
            <w:tcW w:w="709" w:type="dxa"/>
            <w:tcBorders>
              <w:top w:val="nil"/>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Theme="minorEastAsia" w:hAnsiTheme="minorEastAsia"/>
                <w:sz w:val="24"/>
                <w:szCs w:val="24"/>
              </w:rPr>
              <w:t>1</w:t>
            </w:r>
          </w:p>
        </w:tc>
        <w:tc>
          <w:tcPr>
            <w:tcW w:w="1276"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宋体" w:hAnsi="宋体"/>
                <w:sz w:val="24"/>
                <w:szCs w:val="24"/>
              </w:rPr>
              <w:t>物流基础</w:t>
            </w:r>
          </w:p>
        </w:tc>
        <w:tc>
          <w:tcPr>
            <w:tcW w:w="7088" w:type="dxa"/>
            <w:tcBorders>
              <w:top w:val="single" w:color="auto" w:sz="4" w:space="0"/>
              <w:left w:val="nil"/>
              <w:bottom w:val="single" w:color="auto" w:sz="4" w:space="0"/>
              <w:right w:val="single" w:color="auto" w:sz="4" w:space="0"/>
            </w:tcBorders>
          </w:tcPr>
          <w:p>
            <w:pPr>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通过该课程的学习，学生对物流行业、物流企业、物流职业有初步的认知，对配送中心、物流中心和物流园有一定的感性认识，能指出各种物流信息技术，能说出物流的相关设备的名称，能明白电子商务和物流的关系。在此基础上，通过物流企业的案例让学生掌握物流和现代物流的基本涵义、物流的分类和作用、物流学的主要观点、物流的功能要素等。</w:t>
            </w:r>
          </w:p>
        </w:tc>
        <w:tc>
          <w:tcPr>
            <w:tcW w:w="85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0</w:t>
            </w:r>
          </w:p>
        </w:tc>
      </w:tr>
      <w:tr>
        <w:tblPrEx>
          <w:tblCellMar>
            <w:top w:w="0" w:type="dxa"/>
            <w:left w:w="108" w:type="dxa"/>
            <w:bottom w:w="0" w:type="dxa"/>
            <w:right w:w="108" w:type="dxa"/>
          </w:tblCellMar>
        </w:tblPrEx>
        <w:trPr>
          <w:trHeight w:val="1350" w:hRule="atLeast"/>
        </w:trPr>
        <w:tc>
          <w:tcPr>
            <w:tcW w:w="709" w:type="dxa"/>
            <w:tcBorders>
              <w:top w:val="nil"/>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Theme="minorEastAsia" w:hAnsiTheme="minorEastAsia"/>
                <w:sz w:val="24"/>
                <w:szCs w:val="24"/>
              </w:rPr>
              <w:t>2</w:t>
            </w:r>
          </w:p>
        </w:tc>
        <w:tc>
          <w:tcPr>
            <w:tcW w:w="1276"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宋体" w:hAnsi="宋体"/>
                <w:sz w:val="24"/>
                <w:szCs w:val="24"/>
              </w:rPr>
              <w:t>电子商务基础与应用</w:t>
            </w:r>
          </w:p>
        </w:tc>
        <w:tc>
          <w:tcPr>
            <w:tcW w:w="7088" w:type="dxa"/>
            <w:tcBorders>
              <w:top w:val="single" w:color="auto" w:sz="4" w:space="0"/>
              <w:left w:val="single" w:color="auto" w:sz="4" w:space="0"/>
              <w:bottom w:val="single" w:color="auto" w:sz="4" w:space="0"/>
              <w:right w:val="single" w:color="auto" w:sz="4" w:space="0"/>
            </w:tcBorders>
          </w:tcPr>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stheme="minorBidi"/>
                <w:sz w:val="24"/>
              </w:rPr>
              <w:t>本课程对电子商务的整体框架进行系统介绍，主要内容包括：电子商务概述、电子商务的模式与应用领域、电子商务的功能与结构、电子商务主要环节与流程、电子商务安全保障体系、电子商务支付系统、电子商务站点的创建、网络营销技术、电子商务下的物流、电子商务的实施策略等。</w:t>
            </w:r>
          </w:p>
        </w:tc>
        <w:tc>
          <w:tcPr>
            <w:tcW w:w="850" w:type="dxa"/>
            <w:tcBorders>
              <w:top w:val="nil"/>
              <w:left w:val="nil"/>
              <w:bottom w:val="single" w:color="auto" w:sz="4" w:space="0"/>
              <w:right w:val="single" w:color="auto" w:sz="4" w:space="0"/>
            </w:tcBorders>
            <w:vAlign w:val="center"/>
          </w:tcPr>
          <w:p>
            <w:pPr>
              <w:widowControl/>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80</w:t>
            </w:r>
          </w:p>
        </w:tc>
      </w:tr>
      <w:tr>
        <w:tblPrEx>
          <w:tblCellMar>
            <w:top w:w="0" w:type="dxa"/>
            <w:left w:w="108" w:type="dxa"/>
            <w:bottom w:w="0" w:type="dxa"/>
            <w:right w:w="108" w:type="dxa"/>
          </w:tblCellMar>
        </w:tblPrEx>
        <w:trPr>
          <w:trHeight w:val="1552"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asciiTheme="minorEastAsia" w:hAnsiTheme="minorEastAsia"/>
                <w:sz w:val="24"/>
                <w:szCs w:val="24"/>
              </w:rPr>
              <w:t>3</w:t>
            </w:r>
          </w:p>
        </w:tc>
        <w:tc>
          <w:tcPr>
            <w:tcW w:w="127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仓储与配送实务</w:t>
            </w:r>
          </w:p>
          <w:p>
            <w:pPr>
              <w:widowControl/>
              <w:spacing w:line="360" w:lineRule="auto"/>
              <w:rPr>
                <w:rFonts w:asciiTheme="minorEastAsia" w:hAnsiTheme="minorEastAsia"/>
                <w:sz w:val="24"/>
                <w:szCs w:val="24"/>
              </w:rPr>
            </w:pPr>
          </w:p>
        </w:tc>
        <w:tc>
          <w:tcPr>
            <w:tcW w:w="7088"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课程包含仓储与仓储设备、储存规划、仓储作业过程、配送与配送作业流程、配送中心及其规划、配送方案及其设计、包装与流通加工、配送作业过程。本课程在理论“必需、够用”的基础，上突出实践操作，使学生“学中做，做中学”。</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120</w:t>
            </w:r>
          </w:p>
        </w:tc>
      </w:tr>
      <w:tr>
        <w:tblPrEx>
          <w:tblCellMar>
            <w:top w:w="0" w:type="dxa"/>
            <w:left w:w="108" w:type="dxa"/>
            <w:bottom w:w="0" w:type="dxa"/>
            <w:right w:w="108" w:type="dxa"/>
          </w:tblCellMar>
        </w:tblPrEx>
        <w:trPr>
          <w:trHeight w:val="1363" w:hRule="atLeast"/>
        </w:trPr>
        <w:tc>
          <w:tcPr>
            <w:tcW w:w="709" w:type="dxa"/>
            <w:tcBorders>
              <w:top w:val="nil"/>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asciiTheme="minorEastAsia" w:hAnsiTheme="minorEastAsia"/>
                <w:sz w:val="24"/>
                <w:szCs w:val="24"/>
              </w:rPr>
              <w:t>4</w:t>
            </w:r>
          </w:p>
        </w:tc>
        <w:tc>
          <w:tcPr>
            <w:tcW w:w="1276"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宋体" w:hAnsi="宋体"/>
                <w:sz w:val="24"/>
                <w:szCs w:val="24"/>
              </w:rPr>
              <w:t>物流单证实务</w:t>
            </w:r>
          </w:p>
        </w:tc>
        <w:tc>
          <w:tcPr>
            <w:tcW w:w="7088" w:type="dxa"/>
            <w:tcBorders>
              <w:top w:val="single" w:color="auto" w:sz="4" w:space="0"/>
              <w:left w:val="nil"/>
              <w:bottom w:val="single" w:color="auto" w:sz="4" w:space="0"/>
              <w:right w:val="single" w:color="auto" w:sz="4" w:space="0"/>
            </w:tcBorders>
          </w:tcPr>
          <w:p>
            <w:pPr>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通过该课程的学习，学生要学会所有物流单证的流转。通过以物流综合业务为背景进行设置，全部为贯穿国际物流、仓储、运输等业务的综合案例的设计，学生根据题目中的案例背景资料所提供的相关信息，物流单证的填制，并能发现和修改单证中错误的部分。通过单证的操作，学生对相关物流业务流程有了更进一步的了解，并能理会物流单证的重要性。</w:t>
            </w:r>
          </w:p>
        </w:tc>
        <w:tc>
          <w:tcPr>
            <w:tcW w:w="85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20</w:t>
            </w:r>
          </w:p>
        </w:tc>
      </w:tr>
      <w:tr>
        <w:tblPrEx>
          <w:tblCellMar>
            <w:top w:w="0" w:type="dxa"/>
            <w:left w:w="108" w:type="dxa"/>
            <w:bottom w:w="0" w:type="dxa"/>
            <w:right w:w="108" w:type="dxa"/>
          </w:tblCellMar>
        </w:tblPrEx>
        <w:trPr>
          <w:trHeight w:val="1363" w:hRule="atLeast"/>
        </w:trPr>
        <w:tc>
          <w:tcPr>
            <w:tcW w:w="709" w:type="dxa"/>
            <w:tcBorders>
              <w:top w:val="nil"/>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Theme="minorEastAsia" w:hAnsiTheme="minorEastAsia"/>
                <w:sz w:val="24"/>
                <w:szCs w:val="24"/>
              </w:rPr>
              <w:t>5</w:t>
            </w:r>
          </w:p>
        </w:tc>
        <w:tc>
          <w:tcPr>
            <w:tcW w:w="1276" w:type="dxa"/>
            <w:tcBorders>
              <w:top w:val="nil"/>
              <w:left w:val="nil"/>
              <w:bottom w:val="single" w:color="auto" w:sz="4" w:space="0"/>
              <w:right w:val="single" w:color="auto" w:sz="4" w:space="0"/>
            </w:tcBorders>
            <w:vAlign w:val="center"/>
          </w:tcPr>
          <w:p>
            <w:pPr>
              <w:widowControl/>
              <w:spacing w:line="360" w:lineRule="auto"/>
              <w:rPr>
                <w:rFonts w:ascii="宋体" w:hAnsi="宋体"/>
                <w:sz w:val="24"/>
                <w:szCs w:val="24"/>
              </w:rPr>
            </w:pPr>
            <w:r>
              <w:rPr>
                <w:rFonts w:hint="eastAsia" w:ascii="宋体" w:hAnsi="宋体"/>
                <w:sz w:val="24"/>
                <w:szCs w:val="24"/>
              </w:rPr>
              <w:t>物流设备操作与维护</w:t>
            </w:r>
          </w:p>
        </w:tc>
        <w:tc>
          <w:tcPr>
            <w:tcW w:w="7088" w:type="dxa"/>
            <w:tcBorders>
              <w:top w:val="single" w:color="auto" w:sz="4" w:space="0"/>
              <w:left w:val="nil"/>
              <w:bottom w:val="single" w:color="auto" w:sz="4" w:space="0"/>
              <w:right w:val="single" w:color="auto" w:sz="4" w:space="0"/>
            </w:tcBorders>
          </w:tcPr>
          <w:p>
            <w:pPr>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本课程</w:t>
            </w:r>
            <w:r>
              <w:rPr>
                <w:rFonts w:hint="eastAsia" w:asciiTheme="minorEastAsia" w:hAnsiTheme="minorEastAsia"/>
                <w:sz w:val="24"/>
                <w:szCs w:val="24"/>
                <w:lang w:val="en-US" w:eastAsia="zh-CN"/>
              </w:rPr>
              <w:t>包含</w:t>
            </w:r>
            <w:r>
              <w:rPr>
                <w:rFonts w:hint="eastAsia" w:asciiTheme="minorEastAsia" w:hAnsiTheme="minorEastAsia"/>
                <w:sz w:val="24"/>
                <w:szCs w:val="24"/>
              </w:rPr>
              <w:t>储存设备的操作与维护、装卸搬运设备的操作与维护、流通加工设备的操作与维护、物流信息技术设备的操作与维护、智能物流设备的操作与维护等五个模块。该书从学生的学习特点出发，图文并茂，工学结合，理实一体。</w:t>
            </w:r>
          </w:p>
        </w:tc>
        <w:tc>
          <w:tcPr>
            <w:tcW w:w="85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0</w:t>
            </w:r>
          </w:p>
        </w:tc>
      </w:tr>
      <w:tr>
        <w:tblPrEx>
          <w:tblCellMar>
            <w:top w:w="0" w:type="dxa"/>
            <w:left w:w="108" w:type="dxa"/>
            <w:bottom w:w="0" w:type="dxa"/>
            <w:right w:w="108" w:type="dxa"/>
          </w:tblCellMar>
        </w:tblPrEx>
        <w:trPr>
          <w:trHeight w:val="2053"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6</w:t>
            </w:r>
          </w:p>
        </w:tc>
        <w:tc>
          <w:tcPr>
            <w:tcW w:w="1276"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sz w:val="24"/>
                <w:szCs w:val="24"/>
              </w:rPr>
            </w:pPr>
            <w:r>
              <w:rPr>
                <w:rFonts w:hint="eastAsia" w:ascii="宋体" w:hAnsi="宋体"/>
                <w:sz w:val="24"/>
                <w:szCs w:val="24"/>
              </w:rPr>
              <w:t>货品知识</w:t>
            </w:r>
          </w:p>
        </w:tc>
        <w:tc>
          <w:tcPr>
            <w:tcW w:w="7088" w:type="dxa"/>
            <w:tcBorders>
              <w:top w:val="single" w:color="auto" w:sz="4" w:space="0"/>
              <w:left w:val="nil"/>
              <w:bottom w:val="single" w:color="auto" w:sz="4" w:space="0"/>
              <w:right w:val="single" w:color="auto" w:sz="4" w:space="0"/>
            </w:tcBorders>
          </w:tcPr>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本课程包含</w:t>
            </w:r>
            <w:r>
              <w:rPr>
                <w:rFonts w:asciiTheme="minorEastAsia" w:hAnsiTheme="minorEastAsia"/>
                <w:sz w:val="24"/>
                <w:szCs w:val="24"/>
              </w:rPr>
              <w:t>商品的分类与质量管理，仓库温度、湿度管理，商品的包装，易霉腐商品的养护，食品储存与保鲜技术，金属商品的养护，高分子商品的养护，轻纺类商品的养护、日化类商品的养护，仓储管理，危险化学品的安全储存，仓库的防火防爆，仓库鼠害、虫害、蚁害的防治等。</w:t>
            </w:r>
          </w:p>
        </w:tc>
        <w:tc>
          <w:tcPr>
            <w:tcW w:w="850"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0</w:t>
            </w:r>
          </w:p>
        </w:tc>
      </w:tr>
    </w:tbl>
    <w:p>
      <w:pPr>
        <w:pStyle w:val="9"/>
        <w:ind w:firstLine="0" w:firstLineChars="0"/>
        <w:rPr>
          <w:rFonts w:asciiTheme="minorEastAsia" w:hAnsiTheme="minorEastAsia" w:eastAsiaTheme="minorEastAsia"/>
          <w:b/>
          <w:bCs/>
          <w:sz w:val="24"/>
          <w:szCs w:val="24"/>
        </w:rPr>
      </w:pPr>
    </w:p>
    <w:p>
      <w:pPr>
        <w:pStyle w:val="9"/>
        <w:ind w:firstLine="0"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w:t>
      </w: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专业（技能）方向课</w:t>
      </w:r>
    </w:p>
    <w:tbl>
      <w:tblPr>
        <w:tblStyle w:val="4"/>
        <w:tblW w:w="9923"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276"/>
        <w:gridCol w:w="7088"/>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9" w:type="dxa"/>
            <w:tcBorders>
              <w:bottom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序号</w:t>
            </w:r>
          </w:p>
        </w:tc>
        <w:tc>
          <w:tcPr>
            <w:tcW w:w="1276" w:type="dxa"/>
            <w:tcBorders>
              <w:bottom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课程</w:t>
            </w:r>
          </w:p>
          <w:p>
            <w:pPr>
              <w:spacing w:line="360" w:lineRule="auto"/>
              <w:rPr>
                <w:rFonts w:asciiTheme="minorEastAsia" w:hAnsiTheme="minorEastAsia"/>
                <w:sz w:val="24"/>
                <w:szCs w:val="24"/>
              </w:rPr>
            </w:pPr>
            <w:r>
              <w:rPr>
                <w:rFonts w:hint="eastAsia" w:asciiTheme="minorEastAsia" w:hAnsiTheme="minorEastAsia"/>
                <w:sz w:val="24"/>
                <w:szCs w:val="24"/>
              </w:rPr>
              <w:t>名称</w:t>
            </w:r>
          </w:p>
        </w:tc>
        <w:tc>
          <w:tcPr>
            <w:tcW w:w="7088" w:type="dxa"/>
            <w:tcBorders>
              <w:bottom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主要教学内容和要求</w:t>
            </w:r>
          </w:p>
        </w:tc>
        <w:tc>
          <w:tcPr>
            <w:tcW w:w="850" w:type="dxa"/>
            <w:tcBorders>
              <w:bottom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参考</w:t>
            </w:r>
          </w:p>
          <w:p>
            <w:pPr>
              <w:spacing w:line="360" w:lineRule="auto"/>
              <w:rPr>
                <w:rFonts w:asciiTheme="minorEastAsia" w:hAnsiTheme="minorEastAsia"/>
                <w:sz w:val="24"/>
                <w:szCs w:val="24"/>
              </w:rPr>
            </w:pPr>
            <w:r>
              <w:rPr>
                <w:rFonts w:hint="eastAsia" w:asciiTheme="minorEastAsia" w:hAnsiTheme="minorEastAsia"/>
                <w:sz w:val="24"/>
                <w:szCs w:val="24"/>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709" w:type="dxa"/>
            <w:tcBorders>
              <w:top w:val="single" w:color="auto" w:sz="4" w:space="0"/>
              <w:bottom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1</w:t>
            </w:r>
          </w:p>
        </w:tc>
        <w:tc>
          <w:tcPr>
            <w:tcW w:w="1276" w:type="dxa"/>
            <w:tcBorders>
              <w:top w:val="single" w:color="auto" w:sz="4" w:space="0"/>
              <w:bottom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Excel在物流管理中的应用</w:t>
            </w:r>
          </w:p>
        </w:tc>
        <w:tc>
          <w:tcPr>
            <w:tcW w:w="7088" w:type="dxa"/>
            <w:tcBorders>
              <w:top w:val="single" w:color="auto" w:sz="4" w:space="0"/>
              <w:bottom w:val="single" w:color="auto" w:sz="4" w:space="0"/>
            </w:tcBorders>
          </w:tcPr>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本课程包含数据挖掘的基本理论体系，数据挖掘常用算法及相关理论的发展过程；数据挖掘过程的各个环节，通过案例建立和检验数据挖掘过程。</w:t>
            </w:r>
          </w:p>
        </w:tc>
        <w:tc>
          <w:tcPr>
            <w:tcW w:w="850" w:type="dxa"/>
            <w:tcBorders>
              <w:top w:val="single" w:color="auto" w:sz="4" w:space="0"/>
              <w:bottom w:val="single" w:color="auto" w:sz="4" w:space="0"/>
            </w:tcBorders>
            <w:vAlign w:val="center"/>
          </w:tcPr>
          <w:p>
            <w:pPr>
              <w:spacing w:line="360" w:lineRule="auto"/>
              <w:rPr>
                <w:rFonts w:asciiTheme="minorEastAsia" w:hAnsiTheme="minorEastAsia"/>
                <w:sz w:val="24"/>
                <w:szCs w:val="24"/>
              </w:rPr>
            </w:pPr>
            <w:r>
              <w:rPr>
                <w:rFonts w:asciiTheme="minorEastAsia" w:hAnsiTheme="minorEastAsia"/>
                <w:sz w:val="24"/>
                <w:szCs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709" w:type="dxa"/>
            <w:tcBorders>
              <w:top w:val="single" w:color="auto" w:sz="4" w:space="0"/>
              <w:bottom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2</w:t>
            </w:r>
          </w:p>
        </w:tc>
        <w:tc>
          <w:tcPr>
            <w:tcW w:w="1276"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rPr>
                <w:rFonts w:hint="eastAsia" w:asciiTheme="minorEastAsia" w:hAnsiTheme="minorEastAsia"/>
                <w:sz w:val="24"/>
                <w:szCs w:val="24"/>
              </w:rPr>
            </w:pPr>
            <w:r>
              <w:rPr>
                <w:rFonts w:hint="eastAsia" w:ascii="宋体" w:hAnsi="宋体"/>
                <w:sz w:val="24"/>
                <w:szCs w:val="24"/>
              </w:rPr>
              <w:t>物流营销</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rPr>
                <w:rFonts w:hint="eastAsia" w:eastAsia="宋体" w:asciiTheme="minorEastAsia" w:hAnsiTheme="minorEastAsia"/>
                <w:sz w:val="24"/>
                <w:szCs w:val="24"/>
                <w:lang w:eastAsia="zh-CN"/>
              </w:rPr>
            </w:pPr>
            <w:r>
              <w:rPr>
                <w:rFonts w:hint="eastAsia" w:ascii="宋体" w:hAnsi="宋体"/>
                <w:sz w:val="24"/>
                <w:szCs w:val="24"/>
              </w:rPr>
              <w:t>本课程着重对现代物流市场的概况、现代物流营销的内容和特征、促销策略、价格策略、渠道策略、物流客户服务与关系管理以及物流信息管理等一系列物流市场营销的基本问题进行了分析和阐述。通过本课程的学习，学生能够正确地理解现代物流理念，并掌握先进的物流技术和现代物流的经营管理模式。</w:t>
            </w:r>
          </w:p>
        </w:tc>
        <w:tc>
          <w:tcPr>
            <w:tcW w:w="850" w:type="dxa"/>
            <w:tcBorders>
              <w:top w:val="single" w:color="auto"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sz w:val="24"/>
                <w:szCs w:val="24"/>
              </w:rPr>
            </w:pPr>
            <w:r>
              <w:rPr>
                <w:rFonts w:asciiTheme="minorEastAsia" w:hAnsiTheme="minorEastAsia"/>
                <w:sz w:val="24"/>
                <w:szCs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709" w:type="dxa"/>
            <w:tcBorders>
              <w:top w:val="single" w:color="auto" w:sz="4" w:space="0"/>
              <w:bottom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3</w:t>
            </w:r>
          </w:p>
        </w:tc>
        <w:tc>
          <w:tcPr>
            <w:tcW w:w="1276" w:type="dxa"/>
            <w:tcBorders>
              <w:top w:val="single" w:color="auto" w:sz="4" w:space="0"/>
              <w:bottom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无人机物流及实务</w:t>
            </w:r>
          </w:p>
        </w:tc>
        <w:tc>
          <w:tcPr>
            <w:tcW w:w="7088" w:type="dxa"/>
            <w:tcBorders>
              <w:top w:val="single" w:color="auto" w:sz="4" w:space="0"/>
              <w:left w:val="single" w:color="auto" w:sz="4" w:space="0"/>
              <w:bottom w:val="single" w:color="auto" w:sz="4" w:space="0"/>
              <w:right w:val="single" w:color="auto" w:sz="4" w:space="0"/>
            </w:tcBorders>
          </w:tcPr>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课程包含无人机操控人员所需的相关知识与技能。主要内容包括：无人机的分类、发展、行业应用；针对固定翼和多旋翼这两种主流无人机类型，分别讲解其飞行原理、结构组成、装调方法，以及模拟飞行方法、训练飞行方法和安全维护的注意事项；介绍无人机飞行的气象条件及环境，提供相关的低空空域管理法规。</w:t>
            </w:r>
          </w:p>
        </w:tc>
        <w:tc>
          <w:tcPr>
            <w:tcW w:w="850" w:type="dxa"/>
            <w:tcBorders>
              <w:top w:val="single" w:color="auto" w:sz="4" w:space="0"/>
              <w:bottom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 w:hRule="atLeast"/>
        </w:trPr>
        <w:tc>
          <w:tcPr>
            <w:tcW w:w="709" w:type="dxa"/>
            <w:tcBorders>
              <w:top w:val="single" w:color="auto" w:sz="4" w:space="0"/>
              <w:bottom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4</w:t>
            </w:r>
          </w:p>
        </w:tc>
        <w:tc>
          <w:tcPr>
            <w:tcW w:w="1276"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短视频编辑与制作</w:t>
            </w:r>
          </w:p>
        </w:tc>
        <w:tc>
          <w:tcPr>
            <w:tcW w:w="7088" w:type="dxa"/>
          </w:tcPr>
          <w:p>
            <w:pPr>
              <w:spacing w:line="360" w:lineRule="auto"/>
              <w:ind w:firstLine="480" w:firstLineChars="200"/>
              <w:rPr>
                <w:rFonts w:asciiTheme="minorEastAsia" w:hAnsiTheme="minorEastAsia"/>
                <w:sz w:val="24"/>
                <w:szCs w:val="24"/>
              </w:rPr>
            </w:pPr>
            <w:r>
              <w:rPr>
                <w:rFonts w:ascii="宋体" w:hAnsi="宋体" w:eastAsia="宋体" w:cs="宋体"/>
                <w:sz w:val="24"/>
                <w:szCs w:val="24"/>
              </w:rPr>
              <w:t>本书将理论与实践相结合，详细介绍了短视频的相关知识，其内容由浅入深，语言精练、图示精美、实例丰富，能够帮助</w:t>
            </w:r>
            <w:r>
              <w:rPr>
                <w:rFonts w:hint="eastAsia" w:ascii="宋体" w:hAnsi="宋体" w:cs="宋体"/>
                <w:sz w:val="24"/>
                <w:szCs w:val="24"/>
                <w:lang w:val="en-US" w:eastAsia="zh-CN"/>
              </w:rPr>
              <w:t>学生</w:t>
            </w:r>
            <w:r>
              <w:rPr>
                <w:rFonts w:ascii="宋体" w:hAnsi="宋体" w:eastAsia="宋体" w:cs="宋体"/>
                <w:sz w:val="24"/>
                <w:szCs w:val="24"/>
              </w:rPr>
              <w:t>快速了解短视频并掌握其编辑与制作方法。内容包括短视频概述、短视频前期策划、短视频中期拍摄、移动端短视频后期处理、PC端短视频后期处理，以及两个综合实战。</w:t>
            </w:r>
          </w:p>
        </w:tc>
        <w:tc>
          <w:tcPr>
            <w:tcW w:w="850"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 w:hRule="atLeast"/>
        </w:trPr>
        <w:tc>
          <w:tcPr>
            <w:tcW w:w="709" w:type="dxa"/>
            <w:tcBorders>
              <w:top w:val="single" w:color="auto" w:sz="4" w:space="0"/>
              <w:bottom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5</w:t>
            </w:r>
          </w:p>
        </w:tc>
        <w:tc>
          <w:tcPr>
            <w:tcW w:w="1276"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叉车操作实务</w:t>
            </w:r>
          </w:p>
        </w:tc>
        <w:tc>
          <w:tcPr>
            <w:tcW w:w="7088" w:type="dxa"/>
          </w:tcPr>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本课程包含走近叉车、识别常用类型叉车、认识叉车的总体结构、叉车驾驶基本操作规范及安全防范、叉车驾驶、叉车作业、诊断与排除叉车常见故障、维护与保养叉车。</w:t>
            </w:r>
          </w:p>
        </w:tc>
        <w:tc>
          <w:tcPr>
            <w:tcW w:w="850" w:type="dxa"/>
            <w:vAlign w:val="center"/>
          </w:tcPr>
          <w:p>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1</w:t>
            </w:r>
            <w:r>
              <w:rPr>
                <w:rFonts w:hint="eastAsia" w:asciiTheme="minorEastAsia" w:hAnsiTheme="minorEastAsia"/>
                <w:sz w:val="24"/>
                <w:szCs w:val="24"/>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 w:hRule="atLeast"/>
        </w:trPr>
        <w:tc>
          <w:tcPr>
            <w:tcW w:w="709" w:type="dxa"/>
            <w:tcBorders>
              <w:top w:val="single" w:color="auto" w:sz="4" w:space="0"/>
              <w:bottom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6</w:t>
            </w:r>
          </w:p>
        </w:tc>
        <w:tc>
          <w:tcPr>
            <w:tcW w:w="1276"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物流综合实训</w:t>
            </w:r>
          </w:p>
        </w:tc>
        <w:tc>
          <w:tcPr>
            <w:tcW w:w="7088" w:type="dxa"/>
          </w:tcPr>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本课程主要</w:t>
            </w:r>
            <w:r>
              <w:rPr>
                <w:rFonts w:asciiTheme="minorEastAsia" w:hAnsiTheme="minorEastAsia"/>
                <w:sz w:val="24"/>
                <w:szCs w:val="24"/>
              </w:rPr>
              <w:t>以生产企业、商场、</w:t>
            </w:r>
            <w:r>
              <w:fldChar w:fldCharType="begin"/>
            </w:r>
            <w:r>
              <w:instrText xml:space="preserve"> HYPERLINK "https://baike.baidu.com/item/%E8%BF%90%E8%BE%93%E4%BC%81%E4%B8%9A/12672918" \t "_blank" </w:instrText>
            </w:r>
            <w:r>
              <w:fldChar w:fldCharType="separate"/>
            </w:r>
            <w:r>
              <w:rPr>
                <w:rFonts w:asciiTheme="minorEastAsia" w:hAnsiTheme="minorEastAsia"/>
                <w:sz w:val="24"/>
                <w:szCs w:val="24"/>
              </w:rPr>
              <w:t>运输企业</w:t>
            </w:r>
            <w:r>
              <w:rPr>
                <w:rFonts w:asciiTheme="minorEastAsia" w:hAnsiTheme="minorEastAsia"/>
                <w:sz w:val="24"/>
                <w:szCs w:val="24"/>
              </w:rPr>
              <w:fldChar w:fldCharType="end"/>
            </w:r>
            <w:r>
              <w:rPr>
                <w:rFonts w:asciiTheme="minorEastAsia" w:hAnsiTheme="minorEastAsia"/>
                <w:sz w:val="24"/>
                <w:szCs w:val="24"/>
              </w:rPr>
              <w:t>、仓库等的</w:t>
            </w:r>
            <w:r>
              <w:fldChar w:fldCharType="begin"/>
            </w:r>
            <w:r>
              <w:instrText xml:space="preserve"> HYPERLINK "https://baike.baidu.com/item/%E7%89%A9%E6%B5%81" \t "_blank" </w:instrText>
            </w:r>
            <w:r>
              <w:fldChar w:fldCharType="separate"/>
            </w:r>
            <w:r>
              <w:rPr>
                <w:rFonts w:asciiTheme="minorEastAsia" w:hAnsiTheme="minorEastAsia"/>
                <w:sz w:val="24"/>
                <w:szCs w:val="24"/>
              </w:rPr>
              <w:t>物流</w:t>
            </w:r>
            <w:r>
              <w:rPr>
                <w:rFonts w:asciiTheme="minorEastAsia" w:hAnsiTheme="minorEastAsia"/>
                <w:sz w:val="24"/>
                <w:szCs w:val="24"/>
              </w:rPr>
              <w:fldChar w:fldCharType="end"/>
            </w:r>
            <w:r>
              <w:rPr>
                <w:rFonts w:asciiTheme="minorEastAsia" w:hAnsiTheme="minorEastAsia"/>
                <w:sz w:val="24"/>
                <w:szCs w:val="24"/>
              </w:rPr>
              <w:t>活动为主要环节，将每一项活动都设定为一个实训项目，其主要内容有绪论、物流基础业务管理、货运、提货流程、订货流程、发货流程、生产物流管理、运输、转库流程、回收物流管理、结算流程、物流仿真综合实训。</w:t>
            </w:r>
          </w:p>
        </w:tc>
        <w:tc>
          <w:tcPr>
            <w:tcW w:w="850"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20</w:t>
            </w:r>
          </w:p>
        </w:tc>
      </w:tr>
    </w:tbl>
    <w:p>
      <w:pPr>
        <w:spacing w:line="360" w:lineRule="auto"/>
        <w:rPr>
          <w:rFonts w:asciiTheme="minorEastAsia" w:hAnsiTheme="minorEastAsia"/>
          <w:b/>
          <w:sz w:val="24"/>
          <w:szCs w:val="24"/>
        </w:rPr>
      </w:pPr>
      <w:r>
        <w:rPr>
          <w:rFonts w:asciiTheme="minorEastAsia" w:hAnsiTheme="minorEastAsia"/>
          <w:b/>
          <w:sz w:val="24"/>
          <w:szCs w:val="24"/>
        </w:rPr>
        <w:t>3.</w:t>
      </w:r>
      <w:r>
        <w:rPr>
          <w:rFonts w:hint="eastAsia" w:asciiTheme="minorEastAsia" w:hAnsiTheme="minorEastAsia"/>
          <w:b/>
          <w:sz w:val="24"/>
          <w:szCs w:val="24"/>
        </w:rPr>
        <w:t>顶岗实习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顶岗实习是本专业学生职业技能和职业岗位工作能力培养的重要实践教学环节，要认真落实教育部、财政部关于《中等职业学校学生实习管理办法》的有关要求，保证学生顶岗实习的岗位与其所学专业面向的岗位群基本一致。在确保学生实习总量的前提下，可根据实际需要，校企合作，实行工学交替、多学期、分阶段安排学生实习。</w:t>
      </w:r>
    </w:p>
    <w:p>
      <w:pPr>
        <w:numPr>
          <w:ilvl w:val="0"/>
          <w:numId w:val="2"/>
        </w:numPr>
        <w:spacing w:line="300" w:lineRule="auto"/>
        <w:ind w:firstLine="482" w:firstLineChars="200"/>
        <w:rPr>
          <w:rFonts w:asciiTheme="minorEastAsia" w:hAnsiTheme="minorEastAsia"/>
          <w:b/>
          <w:sz w:val="24"/>
          <w:szCs w:val="24"/>
        </w:rPr>
      </w:pPr>
      <w:r>
        <w:rPr>
          <w:rFonts w:hint="eastAsia" w:asciiTheme="minorEastAsia" w:hAnsiTheme="minorEastAsia"/>
          <w:b/>
          <w:sz w:val="24"/>
          <w:szCs w:val="24"/>
        </w:rPr>
        <w:t>教学进程总体安排</w:t>
      </w:r>
    </w:p>
    <w:p>
      <w:pPr>
        <w:spacing w:line="360" w:lineRule="auto"/>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（一）基本要求：</w:t>
      </w:r>
    </w:p>
    <w:p>
      <w:pPr>
        <w:spacing w:line="30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每学年为40周，每学期为20周，周学时一般为</w:t>
      </w:r>
      <w:r>
        <w:rPr>
          <w:rFonts w:hint="eastAsia" w:asciiTheme="majorEastAsia" w:hAnsiTheme="majorEastAsia" w:eastAsiaTheme="majorEastAsia"/>
          <w:sz w:val="24"/>
          <w:szCs w:val="24"/>
          <w:lang w:val="en-US" w:eastAsia="zh-CN"/>
        </w:rPr>
        <w:t>26</w:t>
      </w:r>
      <w:r>
        <w:rPr>
          <w:rFonts w:hint="eastAsia" w:asciiTheme="majorEastAsia" w:hAnsiTheme="majorEastAsia" w:eastAsiaTheme="majorEastAsia"/>
          <w:sz w:val="24"/>
          <w:szCs w:val="24"/>
        </w:rPr>
        <w:t>学时，顶岗实习按每周30小时（1一小时折合1学时）安排，3年总学时数为</w:t>
      </w:r>
      <w:r>
        <w:rPr>
          <w:rFonts w:hint="eastAsia" w:asciiTheme="majorEastAsia" w:hAnsiTheme="majorEastAsia" w:eastAsiaTheme="majorEastAsia"/>
          <w:sz w:val="24"/>
          <w:szCs w:val="24"/>
          <w:lang w:val="en-US" w:eastAsia="zh-CN"/>
        </w:rPr>
        <w:t>3280</w:t>
      </w:r>
      <w:r>
        <w:rPr>
          <w:rFonts w:hint="eastAsia" w:asciiTheme="majorEastAsia" w:hAnsiTheme="majorEastAsia" w:eastAsiaTheme="majorEastAsia"/>
          <w:sz w:val="24"/>
          <w:szCs w:val="24"/>
        </w:rPr>
        <w:t>学时。</w:t>
      </w:r>
    </w:p>
    <w:p>
      <w:pPr>
        <w:spacing w:line="30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海南省工业学校初步实行学分制，按</w:t>
      </w:r>
      <w:r>
        <w:rPr>
          <w:rFonts w:asciiTheme="majorEastAsia" w:hAnsiTheme="majorEastAsia" w:eastAsiaTheme="majorEastAsia"/>
          <w:sz w:val="24"/>
          <w:szCs w:val="24"/>
        </w:rPr>
        <w:t>18</w:t>
      </w:r>
      <w:r>
        <w:rPr>
          <w:rFonts w:hint="eastAsia" w:asciiTheme="majorEastAsia" w:hAnsiTheme="majorEastAsia" w:eastAsiaTheme="majorEastAsia"/>
          <w:sz w:val="24"/>
          <w:szCs w:val="24"/>
        </w:rPr>
        <w:t>学时计1学分，3年制总学分</w:t>
      </w:r>
      <w:r>
        <w:rPr>
          <w:rFonts w:asciiTheme="majorEastAsia" w:hAnsiTheme="majorEastAsia" w:eastAsiaTheme="majorEastAsia"/>
          <w:sz w:val="24"/>
          <w:szCs w:val="24"/>
        </w:rPr>
        <w:t>177</w:t>
      </w:r>
      <w:r>
        <w:rPr>
          <w:rFonts w:hint="eastAsia" w:asciiTheme="majorEastAsia" w:hAnsiTheme="majorEastAsia" w:eastAsiaTheme="majorEastAsia"/>
          <w:sz w:val="24"/>
          <w:szCs w:val="24"/>
        </w:rPr>
        <w:t>学分，其中军训、社会实践、入学教育、毕业教育等活动以1周为1学分，共5学分。</w:t>
      </w:r>
    </w:p>
    <w:p>
      <w:pPr>
        <w:spacing w:line="30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公共基础课学时约占学时的</w:t>
      </w:r>
      <w:r>
        <w:rPr>
          <w:rFonts w:hint="eastAsia" w:asciiTheme="majorEastAsia" w:hAnsiTheme="majorEastAsia" w:eastAsiaTheme="majorEastAsia"/>
          <w:sz w:val="24"/>
          <w:szCs w:val="24"/>
          <w:lang w:val="en-US" w:eastAsia="zh-CN"/>
        </w:rPr>
        <w:t>28.05</w:t>
      </w:r>
      <w:r>
        <w:rPr>
          <w:rFonts w:hint="eastAsia" w:asciiTheme="majorEastAsia" w:hAnsiTheme="majorEastAsia" w:eastAsiaTheme="majorEastAsia"/>
          <w:sz w:val="24"/>
          <w:szCs w:val="24"/>
        </w:rPr>
        <w:t>%，允许根据行业人才培养的实际需要在规定的范围内适当调整，但必须保证学生修完公共基础课的必修内容和学时。</w:t>
      </w:r>
    </w:p>
    <w:p>
      <w:pPr>
        <w:spacing w:line="30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我校专业技能课学时约占学时的7</w:t>
      </w:r>
      <w:r>
        <w:rPr>
          <w:rFonts w:hint="eastAsia" w:asciiTheme="majorEastAsia" w:hAnsiTheme="majorEastAsia" w:eastAsiaTheme="majorEastAsia"/>
          <w:sz w:val="24"/>
          <w:szCs w:val="24"/>
          <w:lang w:val="en-US" w:eastAsia="zh-CN"/>
        </w:rPr>
        <w:t>1.95</w:t>
      </w:r>
      <w:r>
        <w:rPr>
          <w:rFonts w:hint="eastAsia" w:asciiTheme="majorEastAsia" w:hAnsiTheme="majorEastAsia" w:eastAsiaTheme="majorEastAsia"/>
          <w:sz w:val="24"/>
          <w:szCs w:val="24"/>
        </w:rPr>
        <w:t>%，在确保学生实习总量的前提下，可根据实际需要集中或分阶段安排实习时间，专业认知和实践实习安排在第一学年新生军训期间。</w:t>
      </w:r>
    </w:p>
    <w:p>
      <w:pPr>
        <w:numPr>
          <w:ilvl w:val="0"/>
          <w:numId w:val="3"/>
        </w:numPr>
        <w:ind w:firstLine="482" w:firstLineChars="200"/>
        <w:rPr>
          <w:rFonts w:asciiTheme="minorEastAsia" w:hAnsiTheme="minorEastAsia"/>
          <w:b/>
          <w:sz w:val="24"/>
          <w:szCs w:val="24"/>
        </w:rPr>
      </w:pPr>
      <w:r>
        <w:rPr>
          <w:rFonts w:hint="eastAsia" w:asciiTheme="majorEastAsia" w:hAnsiTheme="majorEastAsia" w:eastAsiaTheme="majorEastAsia"/>
          <w:b/>
          <w:sz w:val="24"/>
          <w:szCs w:val="24"/>
        </w:rPr>
        <w:t>教学安排</w:t>
      </w:r>
      <w:r>
        <w:rPr>
          <w:rFonts w:hint="eastAsia" w:asciiTheme="majorEastAsia" w:hAnsiTheme="majorEastAsia" w:eastAsiaTheme="majorEastAsia"/>
          <w:b/>
          <w:sz w:val="24"/>
          <w:szCs w:val="24"/>
          <w:lang w:val="en-US" w:eastAsia="zh-CN"/>
        </w:rPr>
        <w:t>:</w:t>
      </w:r>
    </w:p>
    <w:tbl>
      <w:tblPr>
        <w:tblStyle w:val="4"/>
        <w:tblpPr w:leftFromText="180" w:rightFromText="180" w:vertAnchor="text" w:horzAnchor="page" w:tblpX="1791" w:tblpY="369"/>
        <w:tblOverlap w:val="never"/>
        <w:tblW w:w="9350" w:type="dxa"/>
        <w:tblInd w:w="0" w:type="dxa"/>
        <w:tblLayout w:type="autofit"/>
        <w:tblCellMar>
          <w:top w:w="0" w:type="dxa"/>
          <w:left w:w="108" w:type="dxa"/>
          <w:bottom w:w="0" w:type="dxa"/>
          <w:right w:w="108" w:type="dxa"/>
        </w:tblCellMar>
      </w:tblPr>
      <w:tblGrid>
        <w:gridCol w:w="396"/>
        <w:gridCol w:w="408"/>
        <w:gridCol w:w="396"/>
        <w:gridCol w:w="2097"/>
        <w:gridCol w:w="541"/>
        <w:gridCol w:w="576"/>
        <w:gridCol w:w="576"/>
        <w:gridCol w:w="460"/>
        <w:gridCol w:w="398"/>
        <w:gridCol w:w="398"/>
        <w:gridCol w:w="398"/>
        <w:gridCol w:w="398"/>
        <w:gridCol w:w="398"/>
        <w:gridCol w:w="398"/>
        <w:gridCol w:w="756"/>
        <w:gridCol w:w="756"/>
      </w:tblGrid>
      <w:tr>
        <w:tblPrEx>
          <w:tblCellMar>
            <w:top w:w="0" w:type="dxa"/>
            <w:left w:w="108" w:type="dxa"/>
            <w:bottom w:w="0" w:type="dxa"/>
            <w:right w:w="108" w:type="dxa"/>
          </w:tblCellMar>
        </w:tblPrEx>
        <w:trPr>
          <w:trHeight w:val="414" w:hRule="atLeast"/>
        </w:trPr>
        <w:tc>
          <w:tcPr>
            <w:tcW w:w="39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p>
        </w:tc>
        <w:tc>
          <w:tcPr>
            <w:tcW w:w="40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034" w:type="dxa"/>
            <w:gridSpan w:val="12"/>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202</w:t>
            </w: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rPr>
              <w:t>级物流服务与管理专业课程设置及教学时间安排表</w:t>
            </w:r>
          </w:p>
        </w:tc>
        <w:tc>
          <w:tcPr>
            <w:tcW w:w="756"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p>
        </w:tc>
        <w:tc>
          <w:tcPr>
            <w:tcW w:w="75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 w:hRule="atLeast"/>
        </w:trPr>
        <w:tc>
          <w:tcPr>
            <w:tcW w:w="39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0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09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41"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7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7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6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5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5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6" w:hRule="atLeast"/>
        </w:trPr>
        <w:tc>
          <w:tcPr>
            <w:tcW w:w="80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课程 类别</w:t>
            </w:r>
          </w:p>
        </w:tc>
        <w:tc>
          <w:tcPr>
            <w:tcW w:w="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2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课程名称</w:t>
            </w:r>
          </w:p>
        </w:tc>
        <w:tc>
          <w:tcPr>
            <w:tcW w:w="21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学时数与学分</w:t>
            </w:r>
          </w:p>
        </w:tc>
        <w:tc>
          <w:tcPr>
            <w:tcW w:w="23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按学时分配每周学时</w:t>
            </w:r>
          </w:p>
        </w:tc>
        <w:tc>
          <w:tcPr>
            <w:tcW w:w="151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总学时占比</w:t>
            </w:r>
          </w:p>
        </w:tc>
      </w:tr>
      <w:tr>
        <w:tblPrEx>
          <w:tblCellMar>
            <w:top w:w="0" w:type="dxa"/>
            <w:left w:w="108" w:type="dxa"/>
            <w:bottom w:w="0" w:type="dxa"/>
            <w:right w:w="108" w:type="dxa"/>
          </w:tblCellMar>
        </w:tblPrEx>
        <w:trPr>
          <w:trHeight w:val="286" w:hRule="atLeast"/>
        </w:trPr>
        <w:tc>
          <w:tcPr>
            <w:tcW w:w="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9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总学时数</w:t>
            </w:r>
          </w:p>
        </w:tc>
        <w:tc>
          <w:tcPr>
            <w:tcW w:w="4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学分</w:t>
            </w:r>
          </w:p>
        </w:tc>
        <w:tc>
          <w:tcPr>
            <w:tcW w:w="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第一</w:t>
            </w:r>
          </w:p>
        </w:tc>
        <w:tc>
          <w:tcPr>
            <w:tcW w:w="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第二</w:t>
            </w:r>
          </w:p>
        </w:tc>
        <w:tc>
          <w:tcPr>
            <w:tcW w:w="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第三</w:t>
            </w:r>
          </w:p>
        </w:tc>
        <w:tc>
          <w:tcPr>
            <w:tcW w:w="15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74" w:hRule="atLeast"/>
        </w:trPr>
        <w:tc>
          <w:tcPr>
            <w:tcW w:w="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4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学年</w:t>
            </w:r>
          </w:p>
        </w:tc>
        <w:tc>
          <w:tcPr>
            <w:tcW w:w="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学年</w:t>
            </w:r>
          </w:p>
        </w:tc>
        <w:tc>
          <w:tcPr>
            <w:tcW w:w="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学年</w:t>
            </w:r>
          </w:p>
        </w:tc>
        <w:tc>
          <w:tcPr>
            <w:tcW w:w="15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其中</w:t>
            </w:r>
          </w:p>
        </w:tc>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合计</w:t>
            </w:r>
          </w:p>
        </w:tc>
        <w:tc>
          <w:tcPr>
            <w:tcW w:w="4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w:t>
            </w:r>
          </w:p>
        </w:tc>
        <w:tc>
          <w:tcPr>
            <w:tcW w:w="15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74" w:hRule="atLeast"/>
        </w:trPr>
        <w:tc>
          <w:tcPr>
            <w:tcW w:w="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理论</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实训</w:t>
            </w: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4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15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公共基础课</w:t>
            </w:r>
          </w:p>
        </w:tc>
        <w:tc>
          <w:tcPr>
            <w:tcW w:w="40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必修课</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职业生涯规划</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23.17%</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28.05%</w:t>
            </w: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职业道德与法律</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政治经济与社会</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哲学与人生</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体育与健康</w:t>
            </w:r>
          </w:p>
        </w:tc>
        <w:tc>
          <w:tcPr>
            <w:tcW w:w="5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160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160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语文</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数学★</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英语★</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计算机应用基础★</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公共艺术</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69"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历史</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69"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2493" w:type="dxa"/>
            <w:gridSpan w:val="2"/>
            <w:tcBorders>
              <w:top w:val="single" w:color="auto" w:sz="4" w:space="0"/>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小 计</w:t>
            </w:r>
          </w:p>
        </w:tc>
        <w:tc>
          <w:tcPr>
            <w:tcW w:w="541"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560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760</w:t>
            </w:r>
          </w:p>
        </w:tc>
        <w:tc>
          <w:tcPr>
            <w:tcW w:w="460"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34</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26"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选修课</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形体训练</w:t>
            </w:r>
          </w:p>
        </w:tc>
        <w:tc>
          <w:tcPr>
            <w:tcW w:w="5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4.88%</w:t>
            </w:r>
          </w:p>
        </w:tc>
        <w:tc>
          <w:tcPr>
            <w:tcW w:w="75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26"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劳动技术</w:t>
            </w:r>
          </w:p>
        </w:tc>
        <w:tc>
          <w:tcPr>
            <w:tcW w:w="5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493" w:type="dxa"/>
            <w:gridSpan w:val="2"/>
            <w:tcBorders>
              <w:top w:val="single" w:color="auto" w:sz="4" w:space="0"/>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小 计</w:t>
            </w:r>
          </w:p>
        </w:tc>
        <w:tc>
          <w:tcPr>
            <w:tcW w:w="541"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160</w:t>
            </w:r>
          </w:p>
        </w:tc>
        <w:tc>
          <w:tcPr>
            <w:tcW w:w="460"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专业技能课</w:t>
            </w:r>
          </w:p>
        </w:tc>
        <w:tc>
          <w:tcPr>
            <w:tcW w:w="408"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专业核心课</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物流基础★</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35.37%</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71.95%</w:t>
            </w: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电子商务基础与应用</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仓储与配送实务★</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17</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物流单证实务★</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物流设备操作与维护★</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19</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货品知识★</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493" w:type="dxa"/>
            <w:gridSpan w:val="2"/>
            <w:tcBorders>
              <w:top w:val="single" w:color="auto" w:sz="4" w:space="0"/>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小 计</w:t>
            </w:r>
          </w:p>
        </w:tc>
        <w:tc>
          <w:tcPr>
            <w:tcW w:w="541"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280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280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560</w:t>
            </w:r>
          </w:p>
        </w:tc>
        <w:tc>
          <w:tcPr>
            <w:tcW w:w="460"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28</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D8E4B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398" w:type="dxa"/>
            <w:tcBorders>
              <w:top w:val="nil"/>
              <w:left w:val="nil"/>
              <w:bottom w:val="single" w:color="auto" w:sz="4" w:space="0"/>
              <w:right w:val="single" w:color="auto" w:sz="4" w:space="0"/>
            </w:tcBorders>
            <w:shd w:val="clear" w:color="000000" w:fill="D8E4B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专业方向课</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Excel在物流管理中的应用★</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无人机物流与实务</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物流营销</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23</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短视频编辑与制作</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24</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叉车操作实务★</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160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493" w:type="dxa"/>
            <w:gridSpan w:val="2"/>
            <w:tcBorders>
              <w:top w:val="single" w:color="auto" w:sz="4" w:space="0"/>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541"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440</w:t>
            </w:r>
          </w:p>
        </w:tc>
        <w:tc>
          <w:tcPr>
            <w:tcW w:w="460"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22</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D8E4B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398" w:type="dxa"/>
            <w:tcBorders>
              <w:top w:val="nil"/>
              <w:left w:val="nil"/>
              <w:bottom w:val="single" w:color="auto" w:sz="4" w:space="0"/>
              <w:right w:val="single" w:color="auto" w:sz="4" w:space="0"/>
            </w:tcBorders>
            <w:shd w:val="clear" w:color="000000" w:fill="D8E4B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综合实训</w:t>
            </w:r>
          </w:p>
        </w:tc>
        <w:tc>
          <w:tcPr>
            <w:tcW w:w="3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209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物流综合实训</w:t>
            </w:r>
          </w:p>
        </w:tc>
        <w:tc>
          <w:tcPr>
            <w:tcW w:w="54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120</w:t>
            </w:r>
          </w:p>
        </w:tc>
        <w:tc>
          <w:tcPr>
            <w:tcW w:w="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493" w:type="dxa"/>
            <w:gridSpan w:val="2"/>
            <w:tcBorders>
              <w:top w:val="single" w:color="auto" w:sz="4" w:space="0"/>
              <w:left w:val="nil"/>
              <w:bottom w:val="single" w:color="auto" w:sz="4" w:space="0"/>
              <w:right w:val="single" w:color="000000"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541"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120</w:t>
            </w:r>
          </w:p>
        </w:tc>
        <w:tc>
          <w:tcPr>
            <w:tcW w:w="460"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D8E4B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D8E4B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D8E4B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D8E4B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000000" w:fill="D8E4B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90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顶岗实习</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1200</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1200</w:t>
            </w: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36.59%</w:t>
            </w:r>
          </w:p>
        </w:tc>
        <w:tc>
          <w:tcPr>
            <w:tcW w:w="75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29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541"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hint="default" w:ascii="Calibri" w:hAnsi="Calibri" w:eastAsia="宋体" w:cs="Calibri"/>
                <w:color w:val="000000"/>
                <w:kern w:val="0"/>
                <w:sz w:val="16"/>
                <w:szCs w:val="16"/>
                <w:lang w:val="en-US" w:eastAsia="zh-CN"/>
              </w:rPr>
            </w:pPr>
            <w:r>
              <w:rPr>
                <w:rFonts w:hint="default" w:ascii="Calibri" w:hAnsi="Calibri" w:eastAsia="宋体" w:cs="Calibri"/>
                <w:i w:val="0"/>
                <w:iCs w:val="0"/>
                <w:color w:val="000000"/>
                <w:kern w:val="0"/>
                <w:sz w:val="16"/>
                <w:szCs w:val="16"/>
                <w:u w:val="none"/>
                <w:lang w:val="en-US" w:eastAsia="zh-CN" w:bidi="ar"/>
              </w:rPr>
              <w:t>1140</w:t>
            </w:r>
          </w:p>
        </w:tc>
        <w:tc>
          <w:tcPr>
            <w:tcW w:w="576"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hint="default" w:ascii="Calibri" w:hAnsi="Calibri" w:eastAsia="宋体" w:cs="Calibri"/>
                <w:color w:val="000000"/>
                <w:kern w:val="0"/>
                <w:sz w:val="16"/>
                <w:szCs w:val="16"/>
                <w:lang w:val="en-US" w:eastAsia="zh-CN"/>
              </w:rPr>
            </w:pPr>
            <w:r>
              <w:rPr>
                <w:rFonts w:hint="default" w:ascii="Calibri" w:hAnsi="Calibri" w:eastAsia="宋体" w:cs="Calibri"/>
                <w:i w:val="0"/>
                <w:iCs w:val="0"/>
                <w:color w:val="000000"/>
                <w:kern w:val="0"/>
                <w:sz w:val="16"/>
                <w:szCs w:val="16"/>
                <w:u w:val="none"/>
                <w:lang w:val="en-US" w:eastAsia="zh-CN" w:bidi="ar"/>
              </w:rPr>
              <w:t>2140</w:t>
            </w:r>
          </w:p>
        </w:tc>
        <w:tc>
          <w:tcPr>
            <w:tcW w:w="576"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hint="default" w:ascii="Calibri" w:hAnsi="Calibri" w:eastAsia="宋体" w:cs="Calibri"/>
                <w:color w:val="000000"/>
                <w:kern w:val="0"/>
                <w:sz w:val="16"/>
                <w:szCs w:val="16"/>
                <w:lang w:val="en-US" w:eastAsia="zh-CN"/>
              </w:rPr>
            </w:pPr>
            <w:r>
              <w:rPr>
                <w:rFonts w:hint="default" w:ascii="Calibri" w:hAnsi="Calibri" w:eastAsia="宋体" w:cs="Calibri"/>
                <w:i w:val="0"/>
                <w:iCs w:val="0"/>
                <w:color w:val="000000"/>
                <w:kern w:val="0"/>
                <w:sz w:val="16"/>
                <w:szCs w:val="16"/>
                <w:u w:val="none"/>
                <w:lang w:val="en-US" w:eastAsia="zh-CN" w:bidi="ar"/>
              </w:rPr>
              <w:t>3280</w:t>
            </w:r>
          </w:p>
        </w:tc>
        <w:tc>
          <w:tcPr>
            <w:tcW w:w="460"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Calibri" w:hAnsi="Calibri" w:eastAsia="宋体" w:cs="Calibri"/>
                <w:color w:val="000000"/>
                <w:kern w:val="0"/>
                <w:sz w:val="16"/>
                <w:szCs w:val="16"/>
              </w:rPr>
            </w:pPr>
            <w:r>
              <w:rPr>
                <w:rFonts w:hint="default" w:ascii="Calibri" w:hAnsi="Calibri" w:eastAsia="宋体" w:cs="Calibri"/>
                <w:i w:val="0"/>
                <w:iCs w:val="0"/>
                <w:color w:val="000000"/>
                <w:kern w:val="0"/>
                <w:sz w:val="16"/>
                <w:szCs w:val="16"/>
                <w:u w:val="none"/>
                <w:lang w:val="en-US" w:eastAsia="zh-CN" w:bidi="ar"/>
              </w:rPr>
              <w:t>175</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Calibri" w:hAnsi="Calibri" w:eastAsia="宋体" w:cs="Calibri"/>
                <w:color w:val="000000"/>
                <w:kern w:val="0"/>
                <w:sz w:val="16"/>
                <w:szCs w:val="16"/>
              </w:rPr>
            </w:pPr>
            <w:r>
              <w:rPr>
                <w:rFonts w:hint="default" w:ascii="Calibri" w:hAnsi="Calibri" w:eastAsia="宋体" w:cs="Calibri"/>
                <w:i w:val="0"/>
                <w:iCs w:val="0"/>
                <w:color w:val="000000"/>
                <w:kern w:val="0"/>
                <w:sz w:val="16"/>
                <w:szCs w:val="16"/>
                <w:u w:val="none"/>
                <w:lang w:val="en-US" w:eastAsia="zh-CN" w:bidi="ar"/>
              </w:rPr>
              <w:t>26</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Calibri" w:hAnsi="Calibri" w:eastAsia="宋体" w:cs="Calibri"/>
                <w:color w:val="000000"/>
                <w:kern w:val="0"/>
                <w:sz w:val="16"/>
                <w:szCs w:val="16"/>
              </w:rPr>
            </w:pPr>
            <w:r>
              <w:rPr>
                <w:rFonts w:hint="default" w:ascii="Calibri" w:hAnsi="Calibri" w:eastAsia="宋体" w:cs="Calibri"/>
                <w:i w:val="0"/>
                <w:iCs w:val="0"/>
                <w:color w:val="000000"/>
                <w:kern w:val="0"/>
                <w:sz w:val="16"/>
                <w:szCs w:val="16"/>
                <w:u w:val="none"/>
                <w:lang w:val="en-US" w:eastAsia="zh-CN" w:bidi="ar"/>
              </w:rPr>
              <w:t>26</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hint="eastAsia" w:ascii="Calibri" w:hAnsi="Calibri" w:eastAsia="宋体" w:cs="Calibri"/>
                <w:color w:val="000000"/>
                <w:kern w:val="0"/>
                <w:sz w:val="16"/>
                <w:szCs w:val="16"/>
                <w:lang w:eastAsia="zh-CN"/>
              </w:rPr>
            </w:pPr>
            <w:r>
              <w:rPr>
                <w:rFonts w:hint="default" w:ascii="Calibri" w:hAnsi="Calibri" w:eastAsia="宋体" w:cs="Calibri"/>
                <w:i w:val="0"/>
                <w:iCs w:val="0"/>
                <w:color w:val="000000"/>
                <w:kern w:val="0"/>
                <w:sz w:val="16"/>
                <w:szCs w:val="16"/>
                <w:u w:val="none"/>
                <w:lang w:val="en-US" w:eastAsia="zh-CN" w:bidi="ar"/>
              </w:rPr>
              <w:t>26</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hint="default" w:ascii="Calibri" w:hAnsi="Calibri" w:eastAsia="宋体" w:cs="Calibri"/>
                <w:color w:val="000000"/>
                <w:kern w:val="0"/>
                <w:sz w:val="16"/>
                <w:szCs w:val="16"/>
                <w:lang w:val="en-US" w:eastAsia="zh-CN"/>
              </w:rPr>
            </w:pPr>
            <w:r>
              <w:rPr>
                <w:rFonts w:hint="default" w:ascii="Calibri" w:hAnsi="Calibri" w:eastAsia="宋体" w:cs="Calibri"/>
                <w:i w:val="0"/>
                <w:iCs w:val="0"/>
                <w:color w:val="000000"/>
                <w:kern w:val="0"/>
                <w:sz w:val="16"/>
                <w:szCs w:val="16"/>
                <w:u w:val="none"/>
                <w:lang w:val="en-US" w:eastAsia="zh-CN" w:bidi="ar"/>
              </w:rPr>
              <w:t>26</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Calibri" w:hAnsi="Calibri" w:eastAsia="宋体" w:cs="Calibri"/>
                <w:color w:val="000000"/>
                <w:kern w:val="0"/>
                <w:sz w:val="16"/>
                <w:szCs w:val="16"/>
              </w:rPr>
            </w:pPr>
            <w:r>
              <w:rPr>
                <w:rFonts w:hint="default" w:ascii="Calibri" w:hAnsi="Calibri" w:eastAsia="宋体" w:cs="Calibri"/>
                <w:i w:val="0"/>
                <w:iCs w:val="0"/>
                <w:color w:val="000000"/>
                <w:kern w:val="0"/>
                <w:sz w:val="16"/>
                <w:szCs w:val="16"/>
                <w:u w:val="none"/>
                <w:lang w:val="en-US" w:eastAsia="zh-CN" w:bidi="ar"/>
              </w:rPr>
              <w:t>0</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Calibri" w:hAnsi="Calibri" w:eastAsia="宋体" w:cs="Calibri"/>
                <w:color w:val="000000"/>
                <w:kern w:val="0"/>
                <w:sz w:val="16"/>
                <w:szCs w:val="16"/>
              </w:rPr>
            </w:pPr>
            <w:r>
              <w:rPr>
                <w:rFonts w:hint="default" w:ascii="Calibri" w:hAnsi="Calibri" w:eastAsia="宋体" w:cs="Calibri"/>
                <w:i w:val="0"/>
                <w:iCs w:val="0"/>
                <w:color w:val="000000"/>
                <w:kern w:val="0"/>
                <w:sz w:val="16"/>
                <w:szCs w:val="16"/>
                <w:u w:val="none"/>
                <w:lang w:val="en-US" w:eastAsia="zh-CN" w:bidi="ar"/>
              </w:rPr>
              <w:t>0</w:t>
            </w:r>
          </w:p>
        </w:tc>
        <w:tc>
          <w:tcPr>
            <w:tcW w:w="151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r>
    </w:tbl>
    <w:p>
      <w:pPr>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说明：1、</w:t>
      </w:r>
      <w:r>
        <w:rPr>
          <w:rFonts w:asciiTheme="minorEastAsia" w:hAnsiTheme="minorEastAsia"/>
          <w:sz w:val="24"/>
          <w:szCs w:val="24"/>
        </w:rPr>
        <w:t>18</w:t>
      </w:r>
      <w:r>
        <w:rPr>
          <w:rFonts w:hint="eastAsia" w:asciiTheme="minorEastAsia" w:hAnsiTheme="minorEastAsia"/>
          <w:sz w:val="24"/>
          <w:szCs w:val="24"/>
        </w:rPr>
        <w:t>课时转换1学分；1、“★”表示建议相应课程为考试课，●表示有实训专用周；3、本表不含军训、社会实践、入学教育、毕业教育及第二课堂教学安排，学校可根据实际情况灵活设置。</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八、实施保障</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（一）师资队伍</w:t>
      </w:r>
    </w:p>
    <w:p>
      <w:pPr>
        <w:spacing w:line="360" w:lineRule="auto"/>
        <w:ind w:firstLine="480" w:firstLineChars="200"/>
        <w:rPr>
          <w:rFonts w:cs="Arial" w:asciiTheme="minorEastAsia" w:hAnsiTheme="minorEastAsia"/>
          <w:color w:val="333333"/>
          <w:sz w:val="24"/>
          <w:szCs w:val="24"/>
        </w:rPr>
      </w:pPr>
      <w:r>
        <w:rPr>
          <w:rFonts w:hint="eastAsia" w:asciiTheme="minorEastAsia" w:hAnsiTheme="minorEastAsia"/>
          <w:sz w:val="24"/>
          <w:szCs w:val="24"/>
        </w:rPr>
        <w:t>根据教育部颁布的</w:t>
      </w:r>
      <w:r>
        <w:rPr>
          <w:rFonts w:cs="Arial" w:asciiTheme="minorEastAsia" w:hAnsiTheme="minorEastAsia"/>
          <w:color w:val="333333"/>
          <w:sz w:val="24"/>
          <w:szCs w:val="24"/>
        </w:rPr>
        <w:t>《</w:t>
      </w:r>
      <w:r>
        <w:rPr>
          <w:rFonts w:hint="eastAsia" w:cs="Arial" w:asciiTheme="minorEastAsia" w:hAnsiTheme="minorEastAsia"/>
          <w:color w:val="333333"/>
          <w:sz w:val="24"/>
          <w:szCs w:val="24"/>
        </w:rPr>
        <w:t>中等职业学校教师专业标准</w:t>
      </w:r>
      <w:r>
        <w:rPr>
          <w:rFonts w:cs="Arial" w:asciiTheme="minorEastAsia" w:hAnsiTheme="minorEastAsia"/>
          <w:color w:val="333333"/>
          <w:sz w:val="24"/>
          <w:szCs w:val="24"/>
        </w:rPr>
        <w:t>》</w:t>
      </w:r>
      <w:r>
        <w:rPr>
          <w:rFonts w:hint="eastAsia" w:cs="Arial" w:asciiTheme="minorEastAsia" w:hAnsiTheme="minorEastAsia"/>
          <w:color w:val="333333"/>
          <w:sz w:val="24"/>
          <w:szCs w:val="24"/>
        </w:rPr>
        <w:t>和</w:t>
      </w:r>
      <w:r>
        <w:rPr>
          <w:rFonts w:cs="Arial" w:asciiTheme="minorEastAsia" w:hAnsiTheme="minorEastAsia"/>
          <w:color w:val="333333"/>
          <w:sz w:val="24"/>
          <w:szCs w:val="24"/>
        </w:rPr>
        <w:t>《</w:t>
      </w:r>
      <w:r>
        <w:rPr>
          <w:rFonts w:hint="eastAsia" w:cs="Arial" w:asciiTheme="minorEastAsia" w:hAnsiTheme="minorEastAsia"/>
          <w:color w:val="333333"/>
          <w:sz w:val="24"/>
          <w:szCs w:val="24"/>
        </w:rPr>
        <w:t>中等职业学校设置标准</w:t>
      </w:r>
      <w:r>
        <w:rPr>
          <w:rFonts w:cs="Arial" w:asciiTheme="minorEastAsia" w:hAnsiTheme="minorEastAsia"/>
          <w:color w:val="333333"/>
          <w:sz w:val="24"/>
          <w:szCs w:val="24"/>
        </w:rPr>
        <w:t>》</w:t>
      </w:r>
      <w:r>
        <w:rPr>
          <w:rFonts w:hint="eastAsia" w:cs="Arial" w:asciiTheme="minorEastAsia" w:hAnsiTheme="minorEastAsia"/>
          <w:color w:val="333333"/>
          <w:sz w:val="24"/>
          <w:szCs w:val="24"/>
        </w:rPr>
        <w:t>的有关规定，进行教师队伍建设，合理配置教师资源。专业教师学历职称结构应合理，至少应配备具有相关专业中级以上专业技术职务的专任教师2人；建立“双师型”专业教 师团队，其中“双师型”教师应不低于30%；应有业务水平较高的专业带头人。</w:t>
      </w:r>
    </w:p>
    <w:tbl>
      <w:tblPr>
        <w:tblStyle w:val="5"/>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2182"/>
        <w:gridCol w:w="2182"/>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sz w:val="24"/>
                <w:szCs w:val="24"/>
              </w:rPr>
            </w:pPr>
            <w:r>
              <w:rPr>
                <w:rFonts w:hint="eastAsia" w:asciiTheme="minorEastAsia" w:hAnsiTheme="minorEastAsia"/>
                <w:b/>
                <w:bCs/>
                <w:sz w:val="24"/>
                <w:szCs w:val="24"/>
              </w:rPr>
              <w:t>姓名</w:t>
            </w:r>
          </w:p>
        </w:tc>
        <w:tc>
          <w:tcPr>
            <w:tcW w:w="21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sz w:val="24"/>
                <w:szCs w:val="24"/>
              </w:rPr>
            </w:pPr>
            <w:r>
              <w:rPr>
                <w:rFonts w:hint="eastAsia" w:asciiTheme="minorEastAsia" w:hAnsiTheme="minorEastAsia"/>
                <w:b/>
                <w:bCs/>
                <w:sz w:val="24"/>
                <w:szCs w:val="24"/>
              </w:rPr>
              <w:t>性别</w:t>
            </w:r>
          </w:p>
        </w:tc>
        <w:tc>
          <w:tcPr>
            <w:tcW w:w="21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sz w:val="24"/>
                <w:szCs w:val="24"/>
              </w:rPr>
            </w:pPr>
            <w:r>
              <w:rPr>
                <w:rFonts w:hint="eastAsia" w:asciiTheme="minorEastAsia" w:hAnsiTheme="minorEastAsia"/>
                <w:b/>
                <w:bCs/>
                <w:sz w:val="24"/>
                <w:szCs w:val="24"/>
              </w:rPr>
              <w:t>职称</w:t>
            </w:r>
          </w:p>
        </w:tc>
        <w:tc>
          <w:tcPr>
            <w:tcW w:w="21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sz w:val="24"/>
                <w:szCs w:val="24"/>
              </w:rPr>
            </w:pPr>
            <w:r>
              <w:rPr>
                <w:rFonts w:hint="eastAsia" w:asciiTheme="minorEastAsia" w:hAnsiTheme="minorEastAsia"/>
                <w:b/>
                <w:bCs/>
                <w:sz w:val="24"/>
                <w:szCs w:val="24"/>
              </w:rPr>
              <w:t>专职/兼职情况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叶进军</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男</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高级讲师</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叶建敏</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男</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高级讲师</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李文亮</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男</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高级讲师</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向梦晶</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女</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助理讲师</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黎小秋</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女</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助理讲师</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王秋娇</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女</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助理讲师</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罗慧妮</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女</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助理讲师</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sz w:val="24"/>
                <w:szCs w:val="24"/>
              </w:rPr>
            </w:pPr>
            <w:r>
              <w:rPr>
                <w:rFonts w:hint="eastAsia" w:asciiTheme="minorEastAsia" w:hAnsiTheme="minorEastAsia"/>
                <w:sz w:val="24"/>
                <w:szCs w:val="24"/>
              </w:rPr>
              <w:t>专职</w:t>
            </w:r>
          </w:p>
        </w:tc>
      </w:tr>
    </w:tbl>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（二）教学设施</w:t>
      </w:r>
    </w:p>
    <w:p>
      <w:pPr>
        <w:spacing w:line="300" w:lineRule="auto"/>
        <w:ind w:firstLine="480" w:firstLineChars="200"/>
        <w:rPr>
          <w:rFonts w:asciiTheme="minorEastAsia" w:hAnsiTheme="minorEastAsia"/>
          <w:sz w:val="24"/>
          <w:szCs w:val="24"/>
        </w:rPr>
      </w:pPr>
      <w:r>
        <w:rPr>
          <w:rFonts w:hint="eastAsia" w:asciiTheme="minorEastAsia" w:hAnsiTheme="minorEastAsia"/>
          <w:sz w:val="24"/>
          <w:szCs w:val="24"/>
        </w:rPr>
        <w:t>本专业应配备校内实训室和校外实训基地。</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1、校内实训室</w:t>
      </w:r>
    </w:p>
    <w:p>
      <w:pPr>
        <w:spacing w:line="300" w:lineRule="auto"/>
        <w:ind w:firstLine="480" w:firstLineChars="200"/>
        <w:rPr>
          <w:rFonts w:asciiTheme="minorEastAsia" w:hAnsiTheme="minorEastAsia"/>
          <w:sz w:val="24"/>
          <w:szCs w:val="24"/>
        </w:rPr>
      </w:pPr>
      <w:r>
        <w:rPr>
          <w:rFonts w:hint="eastAsia" w:asciiTheme="minorEastAsia" w:hAnsiTheme="minorEastAsia"/>
          <w:sz w:val="24"/>
          <w:szCs w:val="24"/>
        </w:rPr>
        <w:t>根据快递运营管理专业培养目标的要求，已建设本专业必须具备的实训室一间，计算机机房五间，电子商务实训室一间。主要工具和设施设备的名称及数量见下表。</w:t>
      </w:r>
    </w:p>
    <w:tbl>
      <w:tblPr>
        <w:tblStyle w:val="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64"/>
        <w:gridCol w:w="1650"/>
        <w:gridCol w:w="3368"/>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2864"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设备名称、型号</w:t>
            </w:r>
          </w:p>
        </w:tc>
        <w:tc>
          <w:tcPr>
            <w:tcW w:w="1650"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数量</w:t>
            </w:r>
          </w:p>
        </w:tc>
        <w:tc>
          <w:tcPr>
            <w:tcW w:w="3368"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设备名称、型号</w:t>
            </w:r>
          </w:p>
        </w:tc>
        <w:tc>
          <w:tcPr>
            <w:tcW w:w="1796"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2864"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lang w:eastAsia="zh-CN"/>
              </w:rPr>
            </w:pPr>
            <w:r>
              <w:rPr>
                <w:rFonts w:hint="eastAsia" w:ascii="宋体" w:hAnsi="宋体"/>
                <w:sz w:val="24"/>
                <w:szCs w:val="24"/>
              </w:rPr>
              <w:t>电瓶式叉车</w:t>
            </w:r>
          </w:p>
          <w:p>
            <w:pPr>
              <w:spacing w:line="360" w:lineRule="auto"/>
              <w:ind w:firstLine="480" w:firstLineChars="200"/>
              <w:rPr>
                <w:rFonts w:hint="eastAsia" w:ascii="宋体" w:hAnsi="宋体"/>
                <w:sz w:val="24"/>
                <w:szCs w:val="24"/>
              </w:rPr>
            </w:pPr>
            <w:r>
              <w:rPr>
                <w:rFonts w:hint="eastAsia" w:ascii="宋体" w:hAnsi="宋体"/>
                <w:sz w:val="24"/>
                <w:szCs w:val="24"/>
              </w:rPr>
              <w:t>型号</w:t>
            </w:r>
            <w:r>
              <w:rPr>
                <w:rFonts w:hint="eastAsia" w:ascii="宋体" w:hAnsi="宋体"/>
                <w:sz w:val="24"/>
                <w:szCs w:val="24"/>
                <w:lang w:eastAsia="zh-CN"/>
              </w:rPr>
              <w:t>:</w:t>
            </w:r>
            <w:r>
              <w:rPr>
                <w:rFonts w:hint="eastAsia" w:ascii="宋体" w:hAnsi="宋体"/>
                <w:sz w:val="24"/>
                <w:szCs w:val="24"/>
              </w:rPr>
              <w:t>CPD18</w:t>
            </w:r>
          </w:p>
        </w:tc>
        <w:tc>
          <w:tcPr>
            <w:tcW w:w="1650" w:type="dxa"/>
            <w:tcMar>
              <w:top w:w="0" w:type="dxa"/>
              <w:left w:w="108" w:type="dxa"/>
              <w:bottom w:w="0" w:type="dxa"/>
              <w:right w:w="108" w:type="dxa"/>
            </w:tcMar>
            <w:vAlign w:val="center"/>
          </w:tcPr>
          <w:p>
            <w:pPr>
              <w:spacing w:line="360" w:lineRule="auto"/>
              <w:ind w:firstLine="480" w:firstLineChars="200"/>
              <w:rPr>
                <w:rFonts w:hint="default" w:ascii="宋体" w:hAnsi="宋体"/>
                <w:sz w:val="24"/>
                <w:szCs w:val="24"/>
                <w:lang w:val="en-US" w:eastAsia="zh-CN"/>
              </w:rPr>
            </w:pPr>
            <w:r>
              <w:rPr>
                <w:rFonts w:hint="eastAsia" w:ascii="宋体" w:hAnsi="宋体"/>
                <w:sz w:val="24"/>
                <w:szCs w:val="24"/>
              </w:rPr>
              <w:t> </w:t>
            </w:r>
            <w:r>
              <w:rPr>
                <w:rFonts w:hint="eastAsia" w:ascii="宋体" w:hAnsi="宋体"/>
                <w:sz w:val="24"/>
                <w:szCs w:val="24"/>
                <w:lang w:val="en-US" w:eastAsia="zh-CN"/>
              </w:rPr>
              <w:t>4辆</w:t>
            </w:r>
          </w:p>
        </w:tc>
        <w:tc>
          <w:tcPr>
            <w:tcW w:w="3368"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 手推车</w:t>
            </w:r>
          </w:p>
          <w:p>
            <w:pPr>
              <w:spacing w:line="360" w:lineRule="auto"/>
              <w:ind w:firstLine="480" w:firstLineChars="200"/>
              <w:rPr>
                <w:rFonts w:hint="eastAsia" w:ascii="宋体" w:hAnsi="宋体"/>
                <w:sz w:val="24"/>
                <w:szCs w:val="24"/>
              </w:rPr>
            </w:pPr>
            <w:r>
              <w:rPr>
                <w:rFonts w:hint="eastAsia" w:ascii="宋体" w:hAnsi="宋体"/>
                <w:sz w:val="24"/>
                <w:szCs w:val="24"/>
              </w:rPr>
              <w:t>型号：国产定制</w:t>
            </w:r>
          </w:p>
        </w:tc>
        <w:tc>
          <w:tcPr>
            <w:tcW w:w="1796"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1辆</w:t>
            </w:r>
            <w:r>
              <w:rPr>
                <w:rFonts w:hint="eastAsia" w:ascii="宋体" w:hAnsi="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jc w:val="center"/>
        </w:trPr>
        <w:tc>
          <w:tcPr>
            <w:tcW w:w="2864"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 手动搬运车</w:t>
            </w:r>
          </w:p>
          <w:p>
            <w:pPr>
              <w:spacing w:line="360" w:lineRule="auto"/>
              <w:ind w:firstLine="480" w:firstLineChars="200"/>
              <w:rPr>
                <w:rFonts w:hint="eastAsia" w:ascii="宋体" w:hAnsi="宋体"/>
                <w:sz w:val="24"/>
                <w:szCs w:val="24"/>
              </w:rPr>
            </w:pPr>
            <w:r>
              <w:rPr>
                <w:rFonts w:hint="eastAsia" w:ascii="宋体" w:hAnsi="宋体"/>
                <w:sz w:val="24"/>
                <w:szCs w:val="24"/>
              </w:rPr>
              <w:t>型号：国产定制</w:t>
            </w:r>
          </w:p>
        </w:tc>
        <w:tc>
          <w:tcPr>
            <w:tcW w:w="1650"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lang w:val="en-US" w:eastAsia="zh-CN"/>
              </w:rPr>
            </w:pPr>
            <w:r>
              <w:rPr>
                <w:rFonts w:hint="eastAsia" w:ascii="宋体" w:hAnsi="宋体"/>
                <w:sz w:val="24"/>
                <w:szCs w:val="24"/>
              </w:rPr>
              <w:t> </w:t>
            </w:r>
            <w:r>
              <w:rPr>
                <w:rFonts w:hint="eastAsia" w:ascii="宋体" w:hAnsi="宋体"/>
                <w:sz w:val="24"/>
                <w:szCs w:val="24"/>
                <w:lang w:val="en-US" w:eastAsia="zh-CN"/>
              </w:rPr>
              <w:t>2辆</w:t>
            </w:r>
          </w:p>
        </w:tc>
        <w:tc>
          <w:tcPr>
            <w:tcW w:w="3368"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 理论考核平台</w:t>
            </w:r>
          </w:p>
          <w:p>
            <w:pPr>
              <w:spacing w:line="360" w:lineRule="auto"/>
              <w:ind w:firstLine="480" w:firstLineChars="200"/>
              <w:rPr>
                <w:rFonts w:hint="eastAsia" w:ascii="宋体" w:hAnsi="宋体"/>
                <w:sz w:val="24"/>
                <w:szCs w:val="24"/>
              </w:rPr>
            </w:pPr>
            <w:r>
              <w:rPr>
                <w:rFonts w:hint="eastAsia" w:ascii="宋体" w:hAnsi="宋体"/>
                <w:sz w:val="24"/>
                <w:szCs w:val="24"/>
              </w:rPr>
              <w:t>型号：络捷斯特/物流基础理论知识与职业素养考核系统</w:t>
            </w:r>
          </w:p>
        </w:tc>
        <w:tc>
          <w:tcPr>
            <w:tcW w:w="1796"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jc w:val="center"/>
        </w:trPr>
        <w:tc>
          <w:tcPr>
            <w:tcW w:w="2864"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无线RF手持终端 </w:t>
            </w:r>
          </w:p>
          <w:p>
            <w:pPr>
              <w:spacing w:line="360" w:lineRule="auto"/>
              <w:ind w:firstLine="480" w:firstLineChars="200"/>
              <w:rPr>
                <w:rFonts w:hint="eastAsia" w:ascii="宋体" w:hAnsi="宋体"/>
                <w:sz w:val="24"/>
                <w:szCs w:val="24"/>
              </w:rPr>
            </w:pPr>
            <w:r>
              <w:rPr>
                <w:rFonts w:hint="eastAsia" w:ascii="宋体" w:hAnsi="宋体"/>
                <w:sz w:val="24"/>
                <w:szCs w:val="24"/>
              </w:rPr>
              <w:t>型号：Q7-(Grip-)-HZ</w:t>
            </w:r>
          </w:p>
          <w:p>
            <w:pPr>
              <w:spacing w:line="360" w:lineRule="auto"/>
              <w:ind w:firstLine="480" w:firstLineChars="200"/>
              <w:rPr>
                <w:rFonts w:hint="eastAsia" w:ascii="宋体" w:hAnsi="宋体"/>
                <w:sz w:val="24"/>
                <w:szCs w:val="24"/>
              </w:rPr>
            </w:pPr>
          </w:p>
        </w:tc>
        <w:tc>
          <w:tcPr>
            <w:tcW w:w="1650" w:type="dxa"/>
            <w:tcMar>
              <w:top w:w="0" w:type="dxa"/>
              <w:left w:w="108" w:type="dxa"/>
              <w:bottom w:w="0" w:type="dxa"/>
              <w:right w:w="108" w:type="dxa"/>
            </w:tcMar>
            <w:vAlign w:val="center"/>
          </w:tcPr>
          <w:p>
            <w:pPr>
              <w:spacing w:line="360" w:lineRule="auto"/>
              <w:ind w:firstLine="480" w:firstLineChars="200"/>
              <w:rPr>
                <w:rFonts w:hint="default" w:ascii="宋体" w:hAnsi="宋体"/>
                <w:sz w:val="24"/>
                <w:szCs w:val="24"/>
                <w:lang w:val="en-US" w:eastAsia="zh-CN"/>
              </w:rPr>
            </w:pPr>
            <w:r>
              <w:rPr>
                <w:rFonts w:hint="eastAsia" w:ascii="宋体" w:hAnsi="宋体"/>
                <w:sz w:val="24"/>
                <w:szCs w:val="24"/>
              </w:rPr>
              <w:t> </w:t>
            </w:r>
            <w:r>
              <w:rPr>
                <w:rFonts w:hint="eastAsia" w:ascii="宋体" w:hAnsi="宋体"/>
                <w:sz w:val="24"/>
                <w:szCs w:val="24"/>
                <w:lang w:val="en-US" w:eastAsia="zh-CN"/>
              </w:rPr>
              <w:t>6台</w:t>
            </w:r>
          </w:p>
        </w:tc>
        <w:tc>
          <w:tcPr>
            <w:tcW w:w="3368"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RF平台 </w:t>
            </w:r>
          </w:p>
          <w:p>
            <w:pPr>
              <w:spacing w:line="360" w:lineRule="auto"/>
              <w:ind w:firstLine="480" w:firstLineChars="200"/>
              <w:rPr>
                <w:rFonts w:hint="eastAsia" w:ascii="宋体" w:hAnsi="宋体"/>
                <w:sz w:val="24"/>
                <w:szCs w:val="24"/>
              </w:rPr>
            </w:pPr>
            <w:r>
              <w:rPr>
                <w:rFonts w:hint="eastAsia" w:ascii="宋体" w:hAnsi="宋体"/>
                <w:sz w:val="24"/>
                <w:szCs w:val="24"/>
              </w:rPr>
              <w:t>型号：络捷斯特仓储RF终端管理系统</w:t>
            </w:r>
          </w:p>
        </w:tc>
        <w:tc>
          <w:tcPr>
            <w:tcW w:w="1796"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jc w:val="center"/>
        </w:trPr>
        <w:tc>
          <w:tcPr>
            <w:tcW w:w="2864" w:type="dxa"/>
            <w:tcMar>
              <w:top w:w="0" w:type="dxa"/>
              <w:left w:w="108" w:type="dxa"/>
              <w:bottom w:w="0" w:type="dxa"/>
              <w:right w:w="108" w:type="dxa"/>
            </w:tcMar>
            <w:vAlign w:val="center"/>
          </w:tcPr>
          <w:p>
            <w:pPr>
              <w:spacing w:line="360" w:lineRule="auto"/>
              <w:rPr>
                <w:rFonts w:hint="eastAsia" w:ascii="宋体" w:hAnsi="宋体"/>
                <w:sz w:val="24"/>
                <w:szCs w:val="24"/>
              </w:rPr>
            </w:pPr>
            <w:r>
              <w:rPr>
                <w:rFonts w:hint="eastAsia" w:ascii="宋体" w:hAnsi="宋体"/>
                <w:sz w:val="24"/>
                <w:szCs w:val="24"/>
              </w:rPr>
              <w:t> 实训电子拣选控制平台</w:t>
            </w:r>
          </w:p>
          <w:p>
            <w:pPr>
              <w:spacing w:line="360" w:lineRule="auto"/>
              <w:ind w:firstLine="480" w:firstLineChars="200"/>
              <w:rPr>
                <w:rFonts w:hint="eastAsia" w:ascii="宋体" w:hAnsi="宋体"/>
                <w:sz w:val="24"/>
                <w:szCs w:val="24"/>
              </w:rPr>
            </w:pPr>
            <w:r>
              <w:rPr>
                <w:rFonts w:hint="eastAsia" w:ascii="宋体" w:hAnsi="宋体"/>
                <w:sz w:val="24"/>
                <w:szCs w:val="24"/>
              </w:rPr>
              <w:t>型号：络捷斯特/制电子标签辅助拣货系统</w:t>
            </w:r>
          </w:p>
        </w:tc>
        <w:tc>
          <w:tcPr>
            <w:tcW w:w="1650" w:type="dxa"/>
            <w:tcMar>
              <w:top w:w="0" w:type="dxa"/>
              <w:left w:w="108" w:type="dxa"/>
              <w:bottom w:w="0" w:type="dxa"/>
              <w:right w:w="108" w:type="dxa"/>
            </w:tcMar>
            <w:vAlign w:val="center"/>
          </w:tcPr>
          <w:p>
            <w:pPr>
              <w:spacing w:line="360" w:lineRule="auto"/>
              <w:ind w:firstLine="480" w:firstLineChars="200"/>
              <w:rPr>
                <w:rFonts w:hint="default" w:ascii="宋体" w:hAnsi="宋体"/>
                <w:sz w:val="24"/>
                <w:szCs w:val="24"/>
                <w:lang w:val="en-US" w:eastAsia="zh-CN"/>
              </w:rPr>
            </w:pPr>
            <w:r>
              <w:rPr>
                <w:rFonts w:hint="eastAsia" w:ascii="宋体" w:hAnsi="宋体"/>
                <w:sz w:val="24"/>
                <w:szCs w:val="24"/>
              </w:rPr>
              <w:t> </w:t>
            </w:r>
            <w:r>
              <w:rPr>
                <w:rFonts w:hint="eastAsia" w:ascii="宋体" w:hAnsi="宋体"/>
                <w:sz w:val="24"/>
                <w:szCs w:val="24"/>
                <w:lang w:val="en-US" w:eastAsia="zh-CN"/>
              </w:rPr>
              <w:t>1套</w:t>
            </w:r>
          </w:p>
        </w:tc>
        <w:tc>
          <w:tcPr>
            <w:tcW w:w="3368"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数据存储工作站 </w:t>
            </w:r>
          </w:p>
          <w:p>
            <w:pPr>
              <w:spacing w:line="360" w:lineRule="auto"/>
              <w:ind w:firstLine="480" w:firstLineChars="200"/>
              <w:rPr>
                <w:rFonts w:hint="eastAsia" w:ascii="宋体" w:hAnsi="宋体"/>
                <w:sz w:val="24"/>
                <w:szCs w:val="24"/>
              </w:rPr>
            </w:pPr>
            <w:r>
              <w:rPr>
                <w:rFonts w:hint="eastAsia" w:ascii="宋体" w:hAnsi="宋体"/>
                <w:sz w:val="24"/>
                <w:szCs w:val="24"/>
              </w:rPr>
              <w:t>型号：ST558 </w:t>
            </w:r>
          </w:p>
        </w:tc>
        <w:tc>
          <w:tcPr>
            <w:tcW w:w="1796"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2台</w:t>
            </w:r>
            <w:r>
              <w:rPr>
                <w:rFonts w:hint="eastAsia" w:ascii="宋体" w:hAnsi="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2864"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托盘货架 </w:t>
            </w:r>
          </w:p>
          <w:p>
            <w:pPr>
              <w:spacing w:line="360" w:lineRule="auto"/>
              <w:ind w:firstLine="480" w:firstLineChars="200"/>
              <w:rPr>
                <w:rFonts w:hint="eastAsia" w:ascii="宋体" w:hAnsi="宋体"/>
                <w:sz w:val="24"/>
                <w:szCs w:val="24"/>
              </w:rPr>
            </w:pPr>
            <w:r>
              <w:rPr>
                <w:rFonts w:hint="eastAsia" w:ascii="宋体" w:hAnsi="宋体"/>
                <w:sz w:val="24"/>
                <w:szCs w:val="24"/>
              </w:rPr>
              <w:t>型号：东晨现场定制</w:t>
            </w:r>
          </w:p>
        </w:tc>
        <w:tc>
          <w:tcPr>
            <w:tcW w:w="1650" w:type="dxa"/>
            <w:tcMar>
              <w:top w:w="0" w:type="dxa"/>
              <w:left w:w="108" w:type="dxa"/>
              <w:bottom w:w="0" w:type="dxa"/>
              <w:right w:w="108" w:type="dxa"/>
            </w:tcMar>
            <w:vAlign w:val="center"/>
          </w:tcPr>
          <w:p>
            <w:pPr>
              <w:spacing w:line="360" w:lineRule="auto"/>
              <w:ind w:firstLine="480" w:firstLineChars="200"/>
              <w:rPr>
                <w:rFonts w:hint="default" w:ascii="宋体" w:hAnsi="宋体"/>
                <w:sz w:val="24"/>
                <w:szCs w:val="24"/>
                <w:lang w:val="en-US" w:eastAsia="zh-CN"/>
              </w:rPr>
            </w:pPr>
            <w:r>
              <w:rPr>
                <w:rFonts w:hint="eastAsia" w:ascii="宋体" w:hAnsi="宋体"/>
                <w:sz w:val="24"/>
                <w:szCs w:val="24"/>
              </w:rPr>
              <w:t> </w:t>
            </w:r>
            <w:r>
              <w:rPr>
                <w:rFonts w:hint="eastAsia" w:ascii="宋体" w:hAnsi="宋体"/>
                <w:sz w:val="24"/>
                <w:szCs w:val="24"/>
                <w:lang w:val="en-US" w:eastAsia="zh-CN"/>
              </w:rPr>
              <w:t>6组</w:t>
            </w:r>
          </w:p>
        </w:tc>
        <w:tc>
          <w:tcPr>
            <w:tcW w:w="3368"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流利货架 </w:t>
            </w:r>
          </w:p>
          <w:p>
            <w:pPr>
              <w:spacing w:line="360" w:lineRule="auto"/>
              <w:ind w:firstLine="480" w:firstLineChars="200"/>
              <w:rPr>
                <w:rFonts w:hint="eastAsia" w:ascii="宋体" w:hAnsi="宋体"/>
                <w:sz w:val="24"/>
                <w:szCs w:val="24"/>
              </w:rPr>
            </w:pPr>
            <w:r>
              <w:rPr>
                <w:rFonts w:hint="eastAsia" w:ascii="宋体" w:hAnsi="宋体"/>
                <w:sz w:val="24"/>
                <w:szCs w:val="24"/>
              </w:rPr>
              <w:t>型号：东晨现场定制</w:t>
            </w:r>
          </w:p>
        </w:tc>
        <w:tc>
          <w:tcPr>
            <w:tcW w:w="1796"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2组</w:t>
            </w:r>
            <w:r>
              <w:rPr>
                <w:rFonts w:hint="eastAsia" w:ascii="宋体" w:hAnsi="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2864"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 电子标签</w:t>
            </w:r>
          </w:p>
          <w:p>
            <w:pPr>
              <w:spacing w:line="360" w:lineRule="auto"/>
              <w:ind w:firstLine="480" w:firstLineChars="200"/>
              <w:rPr>
                <w:rFonts w:hint="eastAsia" w:ascii="宋体" w:hAnsi="宋体"/>
                <w:sz w:val="24"/>
                <w:szCs w:val="24"/>
              </w:rPr>
            </w:pPr>
            <w:r>
              <w:rPr>
                <w:rFonts w:hint="eastAsia" w:ascii="宋体" w:hAnsi="宋体"/>
                <w:sz w:val="24"/>
                <w:szCs w:val="24"/>
              </w:rPr>
              <w:t>型号：AT505</w:t>
            </w:r>
          </w:p>
        </w:tc>
        <w:tc>
          <w:tcPr>
            <w:tcW w:w="1650" w:type="dxa"/>
            <w:tcMar>
              <w:top w:w="0" w:type="dxa"/>
              <w:left w:w="108" w:type="dxa"/>
              <w:bottom w:w="0" w:type="dxa"/>
              <w:right w:w="108" w:type="dxa"/>
            </w:tcMar>
            <w:vAlign w:val="center"/>
          </w:tcPr>
          <w:p>
            <w:pPr>
              <w:spacing w:line="360" w:lineRule="auto"/>
              <w:ind w:firstLine="480" w:firstLineChars="200"/>
              <w:rPr>
                <w:rFonts w:hint="default" w:ascii="宋体" w:hAnsi="宋体"/>
                <w:sz w:val="24"/>
                <w:szCs w:val="24"/>
                <w:lang w:val="en-US" w:eastAsia="zh-CN"/>
              </w:rPr>
            </w:pPr>
            <w:r>
              <w:rPr>
                <w:rFonts w:hint="eastAsia" w:ascii="宋体" w:hAnsi="宋体"/>
                <w:sz w:val="24"/>
                <w:szCs w:val="24"/>
              </w:rPr>
              <w:t> </w:t>
            </w:r>
            <w:r>
              <w:rPr>
                <w:rFonts w:hint="eastAsia" w:ascii="宋体" w:hAnsi="宋体"/>
                <w:sz w:val="24"/>
                <w:szCs w:val="24"/>
                <w:lang w:val="en-US" w:eastAsia="zh-CN"/>
              </w:rPr>
              <w:t>1套</w:t>
            </w:r>
          </w:p>
        </w:tc>
        <w:tc>
          <w:tcPr>
            <w:tcW w:w="3368"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无动力辊筒链</w:t>
            </w:r>
          </w:p>
          <w:p>
            <w:pPr>
              <w:spacing w:line="360" w:lineRule="auto"/>
              <w:ind w:firstLine="480" w:firstLineChars="200"/>
              <w:rPr>
                <w:rFonts w:hint="eastAsia" w:ascii="宋体" w:hAnsi="宋体"/>
                <w:sz w:val="24"/>
                <w:szCs w:val="24"/>
              </w:rPr>
            </w:pPr>
            <w:r>
              <w:rPr>
                <w:rFonts w:hint="eastAsia" w:ascii="宋体" w:hAnsi="宋体"/>
                <w:sz w:val="24"/>
                <w:szCs w:val="24"/>
              </w:rPr>
              <w:t>型号：上海依瑾定制 </w:t>
            </w:r>
          </w:p>
        </w:tc>
        <w:tc>
          <w:tcPr>
            <w:tcW w:w="1796"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1组</w:t>
            </w:r>
            <w:r>
              <w:rPr>
                <w:rFonts w:hint="eastAsia" w:ascii="宋体" w:hAnsi="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2864"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 无线AP</w:t>
            </w:r>
          </w:p>
          <w:p>
            <w:pPr>
              <w:spacing w:line="360" w:lineRule="auto"/>
              <w:ind w:firstLine="480" w:firstLineChars="200"/>
              <w:rPr>
                <w:rFonts w:hint="eastAsia" w:ascii="宋体" w:hAnsi="宋体"/>
                <w:sz w:val="24"/>
                <w:szCs w:val="24"/>
              </w:rPr>
            </w:pPr>
            <w:r>
              <w:rPr>
                <w:rFonts w:hint="eastAsia" w:ascii="宋体" w:hAnsi="宋体"/>
                <w:sz w:val="24"/>
                <w:szCs w:val="24"/>
              </w:rPr>
              <w:t>型号：TL-XVR6000L</w:t>
            </w:r>
          </w:p>
        </w:tc>
        <w:tc>
          <w:tcPr>
            <w:tcW w:w="1650" w:type="dxa"/>
            <w:tcMar>
              <w:top w:w="0" w:type="dxa"/>
              <w:left w:w="108" w:type="dxa"/>
              <w:bottom w:w="0" w:type="dxa"/>
              <w:right w:w="108" w:type="dxa"/>
            </w:tcMar>
            <w:vAlign w:val="center"/>
          </w:tcPr>
          <w:p>
            <w:pPr>
              <w:spacing w:line="360" w:lineRule="auto"/>
              <w:ind w:firstLine="480" w:firstLineChars="200"/>
              <w:rPr>
                <w:rFonts w:hint="default" w:ascii="宋体" w:hAnsi="宋体"/>
                <w:sz w:val="24"/>
                <w:szCs w:val="24"/>
                <w:lang w:val="en-US" w:eastAsia="zh-CN"/>
              </w:rPr>
            </w:pPr>
            <w:r>
              <w:rPr>
                <w:rFonts w:hint="eastAsia" w:ascii="宋体" w:hAnsi="宋体"/>
                <w:sz w:val="24"/>
                <w:szCs w:val="24"/>
              </w:rPr>
              <w:t> </w:t>
            </w:r>
            <w:r>
              <w:rPr>
                <w:rFonts w:hint="eastAsia" w:ascii="宋体" w:hAnsi="宋体"/>
                <w:sz w:val="24"/>
                <w:szCs w:val="24"/>
                <w:lang w:val="en-US" w:eastAsia="zh-CN"/>
              </w:rPr>
              <w:t>2台</w:t>
            </w:r>
          </w:p>
        </w:tc>
        <w:tc>
          <w:tcPr>
            <w:tcW w:w="3368"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 机柜</w:t>
            </w:r>
          </w:p>
          <w:p>
            <w:pPr>
              <w:spacing w:line="360" w:lineRule="auto"/>
              <w:ind w:firstLine="480" w:firstLineChars="200"/>
              <w:rPr>
                <w:rFonts w:hint="eastAsia" w:ascii="宋体" w:hAnsi="宋体"/>
                <w:sz w:val="24"/>
                <w:szCs w:val="24"/>
              </w:rPr>
            </w:pPr>
            <w:r>
              <w:rPr>
                <w:rFonts w:hint="eastAsia" w:ascii="宋体" w:hAnsi="宋体"/>
                <w:sz w:val="24"/>
                <w:szCs w:val="24"/>
              </w:rPr>
              <w:t>型号：32UA266</w:t>
            </w:r>
          </w:p>
        </w:tc>
        <w:tc>
          <w:tcPr>
            <w:tcW w:w="1796" w:type="dxa"/>
            <w:tcMar>
              <w:top w:w="0" w:type="dxa"/>
              <w:left w:w="108" w:type="dxa"/>
              <w:bottom w:w="0" w:type="dxa"/>
              <w:right w:w="108" w:type="dxa"/>
            </w:tcMar>
            <w:vAlign w:val="center"/>
          </w:tcPr>
          <w:p>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2864"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 数据交换终端</w:t>
            </w:r>
          </w:p>
          <w:p>
            <w:pPr>
              <w:spacing w:line="360" w:lineRule="auto"/>
              <w:ind w:firstLine="480" w:firstLineChars="200"/>
              <w:rPr>
                <w:rFonts w:hint="eastAsia" w:ascii="宋体" w:hAnsi="宋体"/>
                <w:sz w:val="24"/>
                <w:szCs w:val="24"/>
              </w:rPr>
            </w:pPr>
            <w:r>
              <w:rPr>
                <w:rFonts w:hint="eastAsia" w:ascii="宋体" w:hAnsi="宋体"/>
                <w:sz w:val="24"/>
                <w:szCs w:val="24"/>
              </w:rPr>
              <w:t>型号：S5720S</w:t>
            </w:r>
          </w:p>
        </w:tc>
        <w:tc>
          <w:tcPr>
            <w:tcW w:w="1650"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 </w:t>
            </w:r>
            <w:r>
              <w:rPr>
                <w:rFonts w:hint="eastAsia" w:ascii="宋体" w:hAnsi="宋体"/>
                <w:sz w:val="24"/>
                <w:szCs w:val="24"/>
                <w:lang w:val="en-US" w:eastAsia="zh-CN"/>
              </w:rPr>
              <w:t>1台</w:t>
            </w:r>
          </w:p>
        </w:tc>
        <w:tc>
          <w:tcPr>
            <w:tcW w:w="3368"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p>
        </w:tc>
        <w:tc>
          <w:tcPr>
            <w:tcW w:w="1796" w:type="dxa"/>
            <w:tcMar>
              <w:top w:w="0" w:type="dxa"/>
              <w:left w:w="108" w:type="dxa"/>
              <w:bottom w:w="0" w:type="dxa"/>
              <w:right w:w="108" w:type="dxa"/>
            </w:tcMar>
            <w:vAlign w:val="center"/>
          </w:tcPr>
          <w:p>
            <w:pPr>
              <w:spacing w:line="360" w:lineRule="auto"/>
              <w:ind w:firstLine="480" w:firstLineChars="200"/>
              <w:rPr>
                <w:rFonts w:hint="eastAsia" w:ascii="宋体" w:hAnsi="宋体"/>
                <w:sz w:val="24"/>
                <w:szCs w:val="24"/>
              </w:rPr>
            </w:pPr>
          </w:p>
        </w:tc>
      </w:tr>
    </w:tbl>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注：教学功能室可以按照教学项目、设备、师资等，进行整合确定。</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2、校外实训基地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为满足本专业学生校外实训实习的需要，学校教务科与招就办将会与四通一达签订合作协议，增加学生实训机会。</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（三）教学资源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1、公共基础课的教材应优先选用国家标准教材；专业课教材选用规划教材或校本教材；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2、学校图书馆每年应采购不少于50本与专业相关的书籍；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注重推进现代教育技术教学手段的应用，充分利用声像教材或用现代信息手段获取新的教学资料，充实教学内容。鼓励教师利用投影、多媒体、幻灯、CAI课件等现代手段教学，使多媒体教学、网络教学、计算机教学等现代化教学手段得以较广泛应用。</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（四）教学方法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1.公共基础课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共基础课的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2.专业技能课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专业技能课按照相应职业岗位（群）的能力要求，强化理论实践一体化，突出“做中学、做中教”的职业教育教学特色，提倡项目教学、案例教学、任务教学、角色扮演、情境教学等方法，利用校内实训实习和校外实训实习基地，将学生的自主学习、合作学习和教师的引导教学等教学组织形式有机结合起来。要保证学生有充分的动手训练时间，有意识地强化企业工作规范及安全生产知识，培养学生良好的团队合作精神及成本控制和环境保护意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充分运用多媒体、三维模型、实物展示、实际操作等手段，直观讲解教学重点要点。为配合教学，还要准备相应的资料，比如服务卡、服务流程表、实训报告等。</w:t>
      </w:r>
    </w:p>
    <w:p>
      <w:pPr>
        <w:spacing w:line="360" w:lineRule="auto"/>
        <w:ind w:firstLine="439" w:firstLineChars="183"/>
        <w:rPr>
          <w:rFonts w:asciiTheme="minorEastAsia" w:hAnsiTheme="minorEastAsia"/>
          <w:b/>
          <w:sz w:val="24"/>
          <w:szCs w:val="24"/>
        </w:rPr>
      </w:pPr>
      <w:r>
        <w:rPr>
          <w:rFonts w:hint="eastAsia" w:asciiTheme="minorEastAsia" w:hAnsiTheme="minorEastAsia"/>
          <w:sz w:val="24"/>
          <w:szCs w:val="24"/>
        </w:rPr>
        <w:t>学校在依据本标准制订实施性专业教学标准过程中，要结合本地实际情况和学校的办学特色。在实施性专业教学标准中，学生至少要选择一个专业（技能）方向的课程学习。</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（五）学习评价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教学评价应体现评价主体、评价方式、评价过程的多元化，注意吸收行业企业参与。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校内评价与校外评价相结合，职业技能鉴定与学业考核相结合，教师评价、学生互评与自我评价相结合，过程性评价与结果性评价相结合。不仅关注学生对知识的理解和技能的掌握，更要关注运用知识在实践中解决实际问题的能力，重视规范操作、安全文明生产等职业素质的形成，以及节约能源、节省材料与爱护设备，保护环境等意识与观念的树立。</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我校根据不同地区、不同专业和不同学生的特点，对课程教学目标和教学要求可做进一步的细化，考核与评价的标准要与教学目标对应。</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（六）质量管理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教学管理要有一定的规范和灵活性，合理调配教师、实训室和实训场地等教学资源，为课程的实施创造条件；要加强对教学过程的质量监控，改革教学评价标准和方法，促进教师教学能力的提升，保证教学质量。主要体现在以下四个方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1.教学过程管理，按照教学过程的规律来决定教学工作的顺序，建立相应的方法，通过计划、实施、检查和总结等措施来实现教学目标。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2.教学业务管理，即对学校教学业务工作进行的有计划、有组织的管理。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3.教学质量管理，即按照培养目标的要求安排教学活动，并对教学过程的各个阶段和环节进行质量控制。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教学监控管理，将教学监控分为教学质量监控和教学过程监控，找出反映教学质量的资料和数据，发现教学中存在的问题，分析产生问题的原因，提出纠正存在问题的建议，促进教学质量的提高，促进学生学习水平的提高和教师的专业发展，保证课程实施的质量，保证素质教育方针的落实。</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九、毕业要求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1、每门课程的成绩都达到及格以上；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2、在校期间未受到纪律处分或者毕业前处分已撤销；</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3、完成顶岗实习任务；</w:t>
      </w:r>
    </w:p>
    <w:p>
      <w:pPr>
        <w:rPr>
          <w:rFonts w:asciiTheme="minorEastAsia" w:hAnsiTheme="minorEastAsia"/>
          <w:b/>
          <w:sz w:val="24"/>
          <w:szCs w:val="24"/>
        </w:rPr>
      </w:pPr>
      <w:r>
        <w:rPr>
          <w:rFonts w:hint="eastAsia" w:asciiTheme="minorEastAsia" w:hAnsiTheme="minorEastAsia"/>
          <w:b/>
          <w:sz w:val="24"/>
          <w:szCs w:val="24"/>
        </w:rPr>
        <w:br w:type="page"/>
      </w:r>
    </w:p>
    <w:p>
      <w:pPr>
        <w:numPr>
          <w:ilvl w:val="0"/>
          <w:numId w:val="4"/>
        </w:numPr>
        <w:ind w:firstLine="482" w:firstLineChars="200"/>
        <w:rPr>
          <w:rFonts w:asciiTheme="minorEastAsia" w:hAnsiTheme="minorEastAsia"/>
          <w:b/>
          <w:sz w:val="24"/>
          <w:szCs w:val="24"/>
        </w:rPr>
      </w:pPr>
      <w:r>
        <w:rPr>
          <w:rFonts w:hint="eastAsia" w:asciiTheme="minorEastAsia" w:hAnsiTheme="minorEastAsia"/>
          <w:b/>
          <w:sz w:val="24"/>
          <w:szCs w:val="24"/>
        </w:rPr>
        <w:t>附录</w:t>
      </w:r>
    </w:p>
    <w:tbl>
      <w:tblPr>
        <w:tblStyle w:val="4"/>
        <w:tblpPr w:leftFromText="180" w:rightFromText="180" w:vertAnchor="text" w:horzAnchor="page" w:tblpX="1791" w:tblpY="369"/>
        <w:tblOverlap w:val="never"/>
        <w:tblW w:w="9350" w:type="dxa"/>
        <w:tblInd w:w="0" w:type="dxa"/>
        <w:tblLayout w:type="autofit"/>
        <w:tblCellMar>
          <w:top w:w="0" w:type="dxa"/>
          <w:left w:w="108" w:type="dxa"/>
          <w:bottom w:w="0" w:type="dxa"/>
          <w:right w:w="108" w:type="dxa"/>
        </w:tblCellMar>
      </w:tblPr>
      <w:tblGrid>
        <w:gridCol w:w="396"/>
        <w:gridCol w:w="408"/>
        <w:gridCol w:w="396"/>
        <w:gridCol w:w="2097"/>
        <w:gridCol w:w="541"/>
        <w:gridCol w:w="576"/>
        <w:gridCol w:w="576"/>
        <w:gridCol w:w="460"/>
        <w:gridCol w:w="398"/>
        <w:gridCol w:w="398"/>
        <w:gridCol w:w="398"/>
        <w:gridCol w:w="398"/>
        <w:gridCol w:w="398"/>
        <w:gridCol w:w="398"/>
        <w:gridCol w:w="756"/>
        <w:gridCol w:w="756"/>
      </w:tblGrid>
      <w:tr>
        <w:tblPrEx>
          <w:tblCellMar>
            <w:top w:w="0" w:type="dxa"/>
            <w:left w:w="108" w:type="dxa"/>
            <w:bottom w:w="0" w:type="dxa"/>
            <w:right w:w="108" w:type="dxa"/>
          </w:tblCellMar>
        </w:tblPrEx>
        <w:trPr>
          <w:trHeight w:val="414" w:hRule="atLeast"/>
        </w:trPr>
        <w:tc>
          <w:tcPr>
            <w:tcW w:w="39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p>
        </w:tc>
        <w:tc>
          <w:tcPr>
            <w:tcW w:w="40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034" w:type="dxa"/>
            <w:gridSpan w:val="12"/>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202</w:t>
            </w: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rPr>
              <w:t>级物流服务与管理专业课程设置及教学时间安排表</w:t>
            </w:r>
          </w:p>
        </w:tc>
        <w:tc>
          <w:tcPr>
            <w:tcW w:w="756"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p>
        </w:tc>
        <w:tc>
          <w:tcPr>
            <w:tcW w:w="75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 w:hRule="atLeast"/>
        </w:trPr>
        <w:tc>
          <w:tcPr>
            <w:tcW w:w="39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0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09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41"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7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7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6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5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5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6" w:hRule="atLeast"/>
        </w:trPr>
        <w:tc>
          <w:tcPr>
            <w:tcW w:w="80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课程 类别</w:t>
            </w:r>
          </w:p>
        </w:tc>
        <w:tc>
          <w:tcPr>
            <w:tcW w:w="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2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课程名称</w:t>
            </w:r>
          </w:p>
        </w:tc>
        <w:tc>
          <w:tcPr>
            <w:tcW w:w="21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学时数与学分</w:t>
            </w:r>
          </w:p>
        </w:tc>
        <w:tc>
          <w:tcPr>
            <w:tcW w:w="23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按学时分配每周学时</w:t>
            </w:r>
          </w:p>
        </w:tc>
        <w:tc>
          <w:tcPr>
            <w:tcW w:w="151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总学时占比</w:t>
            </w:r>
          </w:p>
        </w:tc>
      </w:tr>
      <w:tr>
        <w:tblPrEx>
          <w:tblCellMar>
            <w:top w:w="0" w:type="dxa"/>
            <w:left w:w="108" w:type="dxa"/>
            <w:bottom w:w="0" w:type="dxa"/>
            <w:right w:w="108" w:type="dxa"/>
          </w:tblCellMar>
        </w:tblPrEx>
        <w:trPr>
          <w:trHeight w:val="286" w:hRule="atLeast"/>
        </w:trPr>
        <w:tc>
          <w:tcPr>
            <w:tcW w:w="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9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总学时数</w:t>
            </w:r>
          </w:p>
        </w:tc>
        <w:tc>
          <w:tcPr>
            <w:tcW w:w="4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学分</w:t>
            </w:r>
          </w:p>
        </w:tc>
        <w:tc>
          <w:tcPr>
            <w:tcW w:w="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第一</w:t>
            </w:r>
          </w:p>
        </w:tc>
        <w:tc>
          <w:tcPr>
            <w:tcW w:w="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第二</w:t>
            </w:r>
          </w:p>
        </w:tc>
        <w:tc>
          <w:tcPr>
            <w:tcW w:w="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第三</w:t>
            </w:r>
          </w:p>
        </w:tc>
        <w:tc>
          <w:tcPr>
            <w:tcW w:w="15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74" w:hRule="atLeast"/>
        </w:trPr>
        <w:tc>
          <w:tcPr>
            <w:tcW w:w="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4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学年</w:t>
            </w:r>
          </w:p>
        </w:tc>
        <w:tc>
          <w:tcPr>
            <w:tcW w:w="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学年</w:t>
            </w:r>
          </w:p>
        </w:tc>
        <w:tc>
          <w:tcPr>
            <w:tcW w:w="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学年</w:t>
            </w:r>
          </w:p>
        </w:tc>
        <w:tc>
          <w:tcPr>
            <w:tcW w:w="15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其中</w:t>
            </w:r>
          </w:p>
        </w:tc>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合计</w:t>
            </w:r>
          </w:p>
        </w:tc>
        <w:tc>
          <w:tcPr>
            <w:tcW w:w="4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w:t>
            </w:r>
          </w:p>
        </w:tc>
        <w:tc>
          <w:tcPr>
            <w:tcW w:w="15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74" w:hRule="atLeast"/>
        </w:trPr>
        <w:tc>
          <w:tcPr>
            <w:tcW w:w="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理论</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实训</w:t>
            </w: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4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15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公共基础课</w:t>
            </w:r>
          </w:p>
        </w:tc>
        <w:tc>
          <w:tcPr>
            <w:tcW w:w="40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必修课</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职业生涯规划</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23.17%</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28.05%</w:t>
            </w: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职业道德与法律</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政治经济与社会</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哲学与人生</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体育与健康</w:t>
            </w:r>
          </w:p>
        </w:tc>
        <w:tc>
          <w:tcPr>
            <w:tcW w:w="5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160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160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语文</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数学★</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英语★</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计算机应用基础★</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公共艺术</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69"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历史</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69"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2493" w:type="dxa"/>
            <w:gridSpan w:val="2"/>
            <w:tcBorders>
              <w:top w:val="single" w:color="auto" w:sz="4" w:space="0"/>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小 计</w:t>
            </w:r>
          </w:p>
        </w:tc>
        <w:tc>
          <w:tcPr>
            <w:tcW w:w="541"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560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760</w:t>
            </w:r>
          </w:p>
        </w:tc>
        <w:tc>
          <w:tcPr>
            <w:tcW w:w="460"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34</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26"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选修课</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形体训练</w:t>
            </w:r>
          </w:p>
        </w:tc>
        <w:tc>
          <w:tcPr>
            <w:tcW w:w="5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4.88%</w:t>
            </w:r>
          </w:p>
        </w:tc>
        <w:tc>
          <w:tcPr>
            <w:tcW w:w="75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26"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劳动技术</w:t>
            </w:r>
          </w:p>
        </w:tc>
        <w:tc>
          <w:tcPr>
            <w:tcW w:w="5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493" w:type="dxa"/>
            <w:gridSpan w:val="2"/>
            <w:tcBorders>
              <w:top w:val="single" w:color="auto" w:sz="4" w:space="0"/>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小 计</w:t>
            </w:r>
          </w:p>
        </w:tc>
        <w:tc>
          <w:tcPr>
            <w:tcW w:w="541"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160</w:t>
            </w:r>
          </w:p>
        </w:tc>
        <w:tc>
          <w:tcPr>
            <w:tcW w:w="460"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专业技能课</w:t>
            </w:r>
          </w:p>
        </w:tc>
        <w:tc>
          <w:tcPr>
            <w:tcW w:w="408"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专业核心课</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物流基础★</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35.37%</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71.95%</w:t>
            </w: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电子商务基础与应用</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仓储与配送实务★</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17</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物流单证实务★</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物流设备操作与维护★</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19</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货品知识★</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493" w:type="dxa"/>
            <w:gridSpan w:val="2"/>
            <w:tcBorders>
              <w:top w:val="single" w:color="auto" w:sz="4" w:space="0"/>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小 计</w:t>
            </w:r>
          </w:p>
        </w:tc>
        <w:tc>
          <w:tcPr>
            <w:tcW w:w="541"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280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280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560</w:t>
            </w:r>
          </w:p>
        </w:tc>
        <w:tc>
          <w:tcPr>
            <w:tcW w:w="460"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28</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D8E4B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398" w:type="dxa"/>
            <w:tcBorders>
              <w:top w:val="nil"/>
              <w:left w:val="nil"/>
              <w:bottom w:val="single" w:color="auto" w:sz="4" w:space="0"/>
              <w:right w:val="single" w:color="auto" w:sz="4" w:space="0"/>
            </w:tcBorders>
            <w:shd w:val="clear" w:color="000000" w:fill="D8E4B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专业方向课</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Excel在物流管理中的应用★</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无人机物流与实务</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物流营销</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23</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短视频编辑与制作</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24</w:t>
            </w:r>
          </w:p>
        </w:tc>
        <w:tc>
          <w:tcPr>
            <w:tcW w:w="2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叉车操作实务★</w:t>
            </w:r>
          </w:p>
        </w:tc>
        <w:tc>
          <w:tcPr>
            <w:tcW w:w="5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80</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160</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398" w:type="dxa"/>
            <w:tcBorders>
              <w:top w:val="nil"/>
              <w:left w:val="nil"/>
              <w:bottom w:val="single" w:color="auto" w:sz="4" w:space="0"/>
              <w:right w:val="single" w:color="auto" w:sz="4" w:space="0"/>
            </w:tcBorders>
            <w:shd w:val="clear" w:color="000000" w:fill="E4DFE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3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493" w:type="dxa"/>
            <w:gridSpan w:val="2"/>
            <w:tcBorders>
              <w:top w:val="single" w:color="auto" w:sz="4" w:space="0"/>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541"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440</w:t>
            </w:r>
          </w:p>
        </w:tc>
        <w:tc>
          <w:tcPr>
            <w:tcW w:w="460"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22</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8" w:type="dxa"/>
            <w:tcBorders>
              <w:top w:val="nil"/>
              <w:left w:val="nil"/>
              <w:bottom w:val="single" w:color="auto" w:sz="4" w:space="0"/>
              <w:right w:val="single" w:color="auto" w:sz="4" w:space="0"/>
            </w:tcBorders>
            <w:shd w:val="clear" w:color="000000" w:fill="D8E4B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398" w:type="dxa"/>
            <w:tcBorders>
              <w:top w:val="nil"/>
              <w:left w:val="nil"/>
              <w:bottom w:val="single" w:color="auto" w:sz="4" w:space="0"/>
              <w:right w:val="single" w:color="auto" w:sz="4" w:space="0"/>
            </w:tcBorders>
            <w:shd w:val="clear" w:color="000000" w:fill="D8E4B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综合实训</w:t>
            </w:r>
          </w:p>
        </w:tc>
        <w:tc>
          <w:tcPr>
            <w:tcW w:w="3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209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物流综合实训</w:t>
            </w:r>
          </w:p>
        </w:tc>
        <w:tc>
          <w:tcPr>
            <w:tcW w:w="54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120</w:t>
            </w:r>
          </w:p>
        </w:tc>
        <w:tc>
          <w:tcPr>
            <w:tcW w:w="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493" w:type="dxa"/>
            <w:gridSpan w:val="2"/>
            <w:tcBorders>
              <w:top w:val="single" w:color="auto" w:sz="4" w:space="0"/>
              <w:left w:val="nil"/>
              <w:bottom w:val="single" w:color="auto" w:sz="4" w:space="0"/>
              <w:right w:val="single" w:color="000000" w:sz="4" w:space="0"/>
            </w:tcBorders>
            <w:shd w:val="clear" w:color="000000" w:fill="D8E4BC"/>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541"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w:t>
            </w:r>
          </w:p>
        </w:tc>
        <w:tc>
          <w:tcPr>
            <w:tcW w:w="576"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120</w:t>
            </w:r>
          </w:p>
        </w:tc>
        <w:tc>
          <w:tcPr>
            <w:tcW w:w="460"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D8E4B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D8E4B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D8E4BC"/>
            <w:vAlign w:val="center"/>
          </w:tcPr>
          <w:p>
            <w:pPr>
              <w:jc w:val="center"/>
              <w:rPr>
                <w:rFonts w:ascii="宋体" w:hAnsi="宋体" w:eastAsia="宋体" w:cs="宋体"/>
                <w:color w:val="000000"/>
                <w:kern w:val="0"/>
                <w:sz w:val="18"/>
                <w:szCs w:val="18"/>
              </w:rPr>
            </w:pPr>
          </w:p>
        </w:tc>
        <w:tc>
          <w:tcPr>
            <w:tcW w:w="398" w:type="dxa"/>
            <w:tcBorders>
              <w:top w:val="nil"/>
              <w:left w:val="nil"/>
              <w:bottom w:val="single" w:color="auto" w:sz="4" w:space="0"/>
              <w:right w:val="single" w:color="auto" w:sz="4" w:space="0"/>
            </w:tcBorders>
            <w:shd w:val="clear" w:color="000000" w:fill="D8E4BC"/>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6</w:t>
            </w:r>
          </w:p>
        </w:tc>
        <w:tc>
          <w:tcPr>
            <w:tcW w:w="398" w:type="dxa"/>
            <w:tcBorders>
              <w:top w:val="nil"/>
              <w:left w:val="nil"/>
              <w:bottom w:val="single" w:color="auto" w:sz="4" w:space="0"/>
              <w:right w:val="single" w:color="auto" w:sz="4" w:space="0"/>
            </w:tcBorders>
            <w:shd w:val="clear" w:color="000000" w:fill="D8E4B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000000" w:fill="D8E4B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90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顶岗实习</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1200</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1200</w:t>
            </w: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000000" w:fill="E4DFEC"/>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36.59%</w:t>
            </w:r>
          </w:p>
        </w:tc>
        <w:tc>
          <w:tcPr>
            <w:tcW w:w="75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3" w:hRule="atLeast"/>
        </w:trPr>
        <w:tc>
          <w:tcPr>
            <w:tcW w:w="329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541"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hint="default" w:ascii="Calibri" w:hAnsi="Calibri" w:eastAsia="宋体" w:cs="Calibri"/>
                <w:color w:val="000000"/>
                <w:kern w:val="0"/>
                <w:sz w:val="16"/>
                <w:szCs w:val="16"/>
                <w:lang w:val="en-US" w:eastAsia="zh-CN"/>
              </w:rPr>
            </w:pPr>
            <w:r>
              <w:rPr>
                <w:rFonts w:hint="default" w:ascii="Calibri" w:hAnsi="Calibri" w:eastAsia="宋体" w:cs="Calibri"/>
                <w:i w:val="0"/>
                <w:iCs w:val="0"/>
                <w:color w:val="000000"/>
                <w:kern w:val="0"/>
                <w:sz w:val="16"/>
                <w:szCs w:val="16"/>
                <w:u w:val="none"/>
                <w:lang w:val="en-US" w:eastAsia="zh-CN" w:bidi="ar"/>
              </w:rPr>
              <w:t>1140</w:t>
            </w:r>
          </w:p>
        </w:tc>
        <w:tc>
          <w:tcPr>
            <w:tcW w:w="576"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hint="default" w:ascii="Calibri" w:hAnsi="Calibri" w:eastAsia="宋体" w:cs="Calibri"/>
                <w:color w:val="000000"/>
                <w:kern w:val="0"/>
                <w:sz w:val="16"/>
                <w:szCs w:val="16"/>
                <w:lang w:val="en-US" w:eastAsia="zh-CN"/>
              </w:rPr>
            </w:pPr>
            <w:r>
              <w:rPr>
                <w:rFonts w:hint="default" w:ascii="Calibri" w:hAnsi="Calibri" w:eastAsia="宋体" w:cs="Calibri"/>
                <w:i w:val="0"/>
                <w:iCs w:val="0"/>
                <w:color w:val="000000"/>
                <w:kern w:val="0"/>
                <w:sz w:val="16"/>
                <w:szCs w:val="16"/>
                <w:u w:val="none"/>
                <w:lang w:val="en-US" w:eastAsia="zh-CN" w:bidi="ar"/>
              </w:rPr>
              <w:t>2140</w:t>
            </w:r>
          </w:p>
        </w:tc>
        <w:tc>
          <w:tcPr>
            <w:tcW w:w="576"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hint="default" w:ascii="Calibri" w:hAnsi="Calibri" w:eastAsia="宋体" w:cs="Calibri"/>
                <w:color w:val="000000"/>
                <w:kern w:val="0"/>
                <w:sz w:val="16"/>
                <w:szCs w:val="16"/>
                <w:lang w:val="en-US" w:eastAsia="zh-CN"/>
              </w:rPr>
            </w:pPr>
            <w:r>
              <w:rPr>
                <w:rFonts w:hint="default" w:ascii="Calibri" w:hAnsi="Calibri" w:eastAsia="宋体" w:cs="Calibri"/>
                <w:i w:val="0"/>
                <w:iCs w:val="0"/>
                <w:color w:val="000000"/>
                <w:kern w:val="0"/>
                <w:sz w:val="16"/>
                <w:szCs w:val="16"/>
                <w:u w:val="none"/>
                <w:lang w:val="en-US" w:eastAsia="zh-CN" w:bidi="ar"/>
              </w:rPr>
              <w:t>3280</w:t>
            </w:r>
          </w:p>
        </w:tc>
        <w:tc>
          <w:tcPr>
            <w:tcW w:w="460"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Calibri" w:hAnsi="Calibri" w:eastAsia="宋体" w:cs="Calibri"/>
                <w:color w:val="000000"/>
                <w:kern w:val="0"/>
                <w:sz w:val="16"/>
                <w:szCs w:val="16"/>
              </w:rPr>
            </w:pPr>
            <w:r>
              <w:rPr>
                <w:rFonts w:hint="default" w:ascii="Calibri" w:hAnsi="Calibri" w:eastAsia="宋体" w:cs="Calibri"/>
                <w:i w:val="0"/>
                <w:iCs w:val="0"/>
                <w:color w:val="000000"/>
                <w:kern w:val="0"/>
                <w:sz w:val="16"/>
                <w:szCs w:val="16"/>
                <w:u w:val="none"/>
                <w:lang w:val="en-US" w:eastAsia="zh-CN" w:bidi="ar"/>
              </w:rPr>
              <w:t>175</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Calibri" w:hAnsi="Calibri" w:eastAsia="宋体" w:cs="Calibri"/>
                <w:color w:val="000000"/>
                <w:kern w:val="0"/>
                <w:sz w:val="16"/>
                <w:szCs w:val="16"/>
              </w:rPr>
            </w:pPr>
            <w:r>
              <w:rPr>
                <w:rFonts w:hint="default" w:ascii="Calibri" w:hAnsi="Calibri" w:eastAsia="宋体" w:cs="Calibri"/>
                <w:i w:val="0"/>
                <w:iCs w:val="0"/>
                <w:color w:val="000000"/>
                <w:kern w:val="0"/>
                <w:sz w:val="16"/>
                <w:szCs w:val="16"/>
                <w:u w:val="none"/>
                <w:lang w:val="en-US" w:eastAsia="zh-CN" w:bidi="ar"/>
              </w:rPr>
              <w:t>26</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Calibri" w:hAnsi="Calibri" w:eastAsia="宋体" w:cs="Calibri"/>
                <w:color w:val="000000"/>
                <w:kern w:val="0"/>
                <w:sz w:val="16"/>
                <w:szCs w:val="16"/>
              </w:rPr>
            </w:pPr>
            <w:r>
              <w:rPr>
                <w:rFonts w:hint="default" w:ascii="Calibri" w:hAnsi="Calibri" w:eastAsia="宋体" w:cs="Calibri"/>
                <w:i w:val="0"/>
                <w:iCs w:val="0"/>
                <w:color w:val="000000"/>
                <w:kern w:val="0"/>
                <w:sz w:val="16"/>
                <w:szCs w:val="16"/>
                <w:u w:val="none"/>
                <w:lang w:val="en-US" w:eastAsia="zh-CN" w:bidi="ar"/>
              </w:rPr>
              <w:t>26</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hint="eastAsia" w:ascii="Calibri" w:hAnsi="Calibri" w:eastAsia="宋体" w:cs="Calibri"/>
                <w:color w:val="000000"/>
                <w:kern w:val="0"/>
                <w:sz w:val="16"/>
                <w:szCs w:val="16"/>
                <w:lang w:eastAsia="zh-CN"/>
              </w:rPr>
            </w:pPr>
            <w:r>
              <w:rPr>
                <w:rFonts w:hint="default" w:ascii="Calibri" w:hAnsi="Calibri" w:eastAsia="宋体" w:cs="Calibri"/>
                <w:i w:val="0"/>
                <w:iCs w:val="0"/>
                <w:color w:val="000000"/>
                <w:kern w:val="0"/>
                <w:sz w:val="16"/>
                <w:szCs w:val="16"/>
                <w:u w:val="none"/>
                <w:lang w:val="en-US" w:eastAsia="zh-CN" w:bidi="ar"/>
              </w:rPr>
              <w:t>26</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hint="default" w:ascii="Calibri" w:hAnsi="Calibri" w:eastAsia="宋体" w:cs="Calibri"/>
                <w:color w:val="000000"/>
                <w:kern w:val="0"/>
                <w:sz w:val="16"/>
                <w:szCs w:val="16"/>
                <w:lang w:val="en-US" w:eastAsia="zh-CN"/>
              </w:rPr>
            </w:pPr>
            <w:r>
              <w:rPr>
                <w:rFonts w:hint="default" w:ascii="Calibri" w:hAnsi="Calibri" w:eastAsia="宋体" w:cs="Calibri"/>
                <w:i w:val="0"/>
                <w:iCs w:val="0"/>
                <w:color w:val="000000"/>
                <w:kern w:val="0"/>
                <w:sz w:val="16"/>
                <w:szCs w:val="16"/>
                <w:u w:val="none"/>
                <w:lang w:val="en-US" w:eastAsia="zh-CN" w:bidi="ar"/>
              </w:rPr>
              <w:t>26</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Calibri" w:hAnsi="Calibri" w:eastAsia="宋体" w:cs="Calibri"/>
                <w:color w:val="000000"/>
                <w:kern w:val="0"/>
                <w:sz w:val="16"/>
                <w:szCs w:val="16"/>
              </w:rPr>
            </w:pPr>
            <w:r>
              <w:rPr>
                <w:rFonts w:hint="default" w:ascii="Calibri" w:hAnsi="Calibri" w:eastAsia="宋体" w:cs="Calibri"/>
                <w:i w:val="0"/>
                <w:iCs w:val="0"/>
                <w:color w:val="000000"/>
                <w:kern w:val="0"/>
                <w:sz w:val="16"/>
                <w:szCs w:val="16"/>
                <w:u w:val="none"/>
                <w:lang w:val="en-US" w:eastAsia="zh-CN" w:bidi="ar"/>
              </w:rPr>
              <w:t>0</w:t>
            </w:r>
          </w:p>
        </w:tc>
        <w:tc>
          <w:tcPr>
            <w:tcW w:w="398" w:type="dxa"/>
            <w:tcBorders>
              <w:top w:val="nil"/>
              <w:left w:val="nil"/>
              <w:bottom w:val="single" w:color="auto" w:sz="4" w:space="0"/>
              <w:right w:val="single" w:color="auto" w:sz="4" w:space="0"/>
            </w:tcBorders>
            <w:shd w:val="clear" w:color="000000" w:fill="E4DFEC"/>
            <w:vAlign w:val="center"/>
          </w:tcPr>
          <w:p>
            <w:pPr>
              <w:keepNext w:val="0"/>
              <w:keepLines w:val="0"/>
              <w:widowControl/>
              <w:suppressLineNumbers w:val="0"/>
              <w:jc w:val="center"/>
              <w:textAlignment w:val="center"/>
              <w:rPr>
                <w:rFonts w:ascii="Calibri" w:hAnsi="Calibri" w:eastAsia="宋体" w:cs="Calibri"/>
                <w:color w:val="000000"/>
                <w:kern w:val="0"/>
                <w:sz w:val="16"/>
                <w:szCs w:val="16"/>
              </w:rPr>
            </w:pPr>
            <w:r>
              <w:rPr>
                <w:rFonts w:hint="default" w:ascii="Calibri" w:hAnsi="Calibri" w:eastAsia="宋体" w:cs="Calibri"/>
                <w:i w:val="0"/>
                <w:iCs w:val="0"/>
                <w:color w:val="000000"/>
                <w:kern w:val="0"/>
                <w:sz w:val="16"/>
                <w:szCs w:val="16"/>
                <w:u w:val="none"/>
                <w:lang w:val="en-US" w:eastAsia="zh-CN" w:bidi="ar"/>
              </w:rPr>
              <w:t>0</w:t>
            </w:r>
          </w:p>
        </w:tc>
        <w:tc>
          <w:tcPr>
            <w:tcW w:w="151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r>
    </w:tbl>
    <w:p>
      <w:pPr>
        <w:rPr>
          <w:rFonts w:asciiTheme="minorEastAsia" w:hAnsiTheme="minorEastAsia"/>
          <w:b/>
          <w:sz w:val="10"/>
          <w:szCs w:val="10"/>
        </w:rPr>
      </w:pPr>
      <w:r>
        <w:rPr>
          <w:rFonts w:hint="eastAsia" w:asciiTheme="minorEastAsia" w:hAnsiTheme="minorEastAsia"/>
          <w:sz w:val="18"/>
          <w:szCs w:val="18"/>
        </w:rPr>
        <w:t>说明：1、</w:t>
      </w:r>
      <w:r>
        <w:rPr>
          <w:rFonts w:asciiTheme="minorEastAsia" w:hAnsiTheme="minorEastAsia"/>
          <w:sz w:val="18"/>
          <w:szCs w:val="18"/>
        </w:rPr>
        <w:t>18</w:t>
      </w:r>
      <w:r>
        <w:rPr>
          <w:rFonts w:hint="eastAsia" w:asciiTheme="minorEastAsia" w:hAnsiTheme="minorEastAsia"/>
          <w:sz w:val="18"/>
          <w:szCs w:val="18"/>
        </w:rPr>
        <w:t>课时转换1学分；1、“★”表示建议相应课程为考试课，●表示有实训专用周；3、本表不含军训、社会实践、入学教育、毕业教育及第二课堂教学安排，学校可根据实际情况灵活设置。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5796"/>
    <w:multiLevelType w:val="singleLevel"/>
    <w:tmpl w:val="0CF55796"/>
    <w:lvl w:ilvl="0" w:tentative="0">
      <w:start w:val="10"/>
      <w:numFmt w:val="chineseCounting"/>
      <w:suff w:val="nothing"/>
      <w:lvlText w:val="%1、"/>
      <w:lvlJc w:val="left"/>
      <w:rPr>
        <w:rFonts w:hint="eastAsia"/>
      </w:rPr>
    </w:lvl>
  </w:abstractNum>
  <w:abstractNum w:abstractNumId="1">
    <w:nsid w:val="17BE00FD"/>
    <w:multiLevelType w:val="multilevel"/>
    <w:tmpl w:val="17BE00FD"/>
    <w:lvl w:ilvl="0" w:tentative="0">
      <w:start w:val="1"/>
      <w:numFmt w:val="japaneseCounting"/>
      <w:lvlText w:val="（%1）"/>
      <w:lvlJc w:val="left"/>
      <w:pPr>
        <w:ind w:left="1239" w:hanging="765"/>
      </w:pPr>
      <w:rPr>
        <w:rFonts w:hint="default"/>
      </w:rPr>
    </w:lvl>
    <w:lvl w:ilvl="1" w:tentative="0">
      <w:start w:val="1"/>
      <w:numFmt w:val="lowerLetter"/>
      <w:lvlText w:val="%2)"/>
      <w:lvlJc w:val="left"/>
      <w:pPr>
        <w:ind w:left="1314" w:hanging="420"/>
      </w:pPr>
    </w:lvl>
    <w:lvl w:ilvl="2" w:tentative="0">
      <w:start w:val="1"/>
      <w:numFmt w:val="lowerRoman"/>
      <w:lvlText w:val="%3."/>
      <w:lvlJc w:val="right"/>
      <w:pPr>
        <w:ind w:left="1734" w:hanging="420"/>
      </w:pPr>
    </w:lvl>
    <w:lvl w:ilvl="3" w:tentative="0">
      <w:start w:val="1"/>
      <w:numFmt w:val="decimal"/>
      <w:lvlText w:val="%4."/>
      <w:lvlJc w:val="left"/>
      <w:pPr>
        <w:ind w:left="2154" w:hanging="420"/>
      </w:pPr>
    </w:lvl>
    <w:lvl w:ilvl="4" w:tentative="0">
      <w:start w:val="1"/>
      <w:numFmt w:val="lowerLetter"/>
      <w:lvlText w:val="%5)"/>
      <w:lvlJc w:val="left"/>
      <w:pPr>
        <w:ind w:left="2574" w:hanging="420"/>
      </w:pPr>
    </w:lvl>
    <w:lvl w:ilvl="5" w:tentative="0">
      <w:start w:val="1"/>
      <w:numFmt w:val="lowerRoman"/>
      <w:lvlText w:val="%6."/>
      <w:lvlJc w:val="right"/>
      <w:pPr>
        <w:ind w:left="2994" w:hanging="420"/>
      </w:pPr>
    </w:lvl>
    <w:lvl w:ilvl="6" w:tentative="0">
      <w:start w:val="1"/>
      <w:numFmt w:val="decimal"/>
      <w:lvlText w:val="%7."/>
      <w:lvlJc w:val="left"/>
      <w:pPr>
        <w:ind w:left="3414" w:hanging="420"/>
      </w:pPr>
    </w:lvl>
    <w:lvl w:ilvl="7" w:tentative="0">
      <w:start w:val="1"/>
      <w:numFmt w:val="lowerLetter"/>
      <w:lvlText w:val="%8)"/>
      <w:lvlJc w:val="left"/>
      <w:pPr>
        <w:ind w:left="3834" w:hanging="420"/>
      </w:pPr>
    </w:lvl>
    <w:lvl w:ilvl="8" w:tentative="0">
      <w:start w:val="1"/>
      <w:numFmt w:val="lowerRoman"/>
      <w:lvlText w:val="%9."/>
      <w:lvlJc w:val="right"/>
      <w:pPr>
        <w:ind w:left="4254" w:hanging="420"/>
      </w:pPr>
    </w:lvl>
  </w:abstractNum>
  <w:abstractNum w:abstractNumId="2">
    <w:nsid w:val="2C526523"/>
    <w:multiLevelType w:val="singleLevel"/>
    <w:tmpl w:val="2C526523"/>
    <w:lvl w:ilvl="0" w:tentative="0">
      <w:start w:val="7"/>
      <w:numFmt w:val="chineseCounting"/>
      <w:suff w:val="nothing"/>
      <w:lvlText w:val="%1、"/>
      <w:lvlJc w:val="left"/>
      <w:rPr>
        <w:rFonts w:hint="eastAsia"/>
      </w:rPr>
    </w:lvl>
  </w:abstractNum>
  <w:abstractNum w:abstractNumId="3">
    <w:nsid w:val="77F57E8E"/>
    <w:multiLevelType w:val="singleLevel"/>
    <w:tmpl w:val="77F57E8E"/>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kNzcyOWM2NDhiZmZjODA1NWRjZTNkN2Y5NTQ5N2MifQ=="/>
  </w:docVars>
  <w:rsids>
    <w:rsidRoot w:val="0014346E"/>
    <w:rsid w:val="00031C4A"/>
    <w:rsid w:val="00055131"/>
    <w:rsid w:val="000802C3"/>
    <w:rsid w:val="000C5407"/>
    <w:rsid w:val="001161E1"/>
    <w:rsid w:val="0014186E"/>
    <w:rsid w:val="0014346E"/>
    <w:rsid w:val="001464C1"/>
    <w:rsid w:val="00182899"/>
    <w:rsid w:val="001C7B1B"/>
    <w:rsid w:val="001D5CF5"/>
    <w:rsid w:val="002117D4"/>
    <w:rsid w:val="00292DE0"/>
    <w:rsid w:val="002B2FF0"/>
    <w:rsid w:val="002E5CA5"/>
    <w:rsid w:val="0031570E"/>
    <w:rsid w:val="003322D3"/>
    <w:rsid w:val="00384E9A"/>
    <w:rsid w:val="003A05DC"/>
    <w:rsid w:val="003B4F18"/>
    <w:rsid w:val="003B6F9F"/>
    <w:rsid w:val="003C0059"/>
    <w:rsid w:val="003D5966"/>
    <w:rsid w:val="00416D25"/>
    <w:rsid w:val="00422F4E"/>
    <w:rsid w:val="00466527"/>
    <w:rsid w:val="00487D15"/>
    <w:rsid w:val="0052515B"/>
    <w:rsid w:val="006744C2"/>
    <w:rsid w:val="0067509E"/>
    <w:rsid w:val="006848E6"/>
    <w:rsid w:val="006A70DF"/>
    <w:rsid w:val="006D369E"/>
    <w:rsid w:val="00733446"/>
    <w:rsid w:val="00751CC0"/>
    <w:rsid w:val="007C3A73"/>
    <w:rsid w:val="00827FD4"/>
    <w:rsid w:val="00856D38"/>
    <w:rsid w:val="00867297"/>
    <w:rsid w:val="008E19D1"/>
    <w:rsid w:val="00930D84"/>
    <w:rsid w:val="0095335F"/>
    <w:rsid w:val="009640ED"/>
    <w:rsid w:val="009A074A"/>
    <w:rsid w:val="009C4F25"/>
    <w:rsid w:val="00A40245"/>
    <w:rsid w:val="00A50838"/>
    <w:rsid w:val="00A70A29"/>
    <w:rsid w:val="00A850A6"/>
    <w:rsid w:val="00AE1CE6"/>
    <w:rsid w:val="00B07833"/>
    <w:rsid w:val="00B17A11"/>
    <w:rsid w:val="00B2063F"/>
    <w:rsid w:val="00B877C6"/>
    <w:rsid w:val="00BB4690"/>
    <w:rsid w:val="00BC4EF2"/>
    <w:rsid w:val="00BF2AFA"/>
    <w:rsid w:val="00C10743"/>
    <w:rsid w:val="00C43E12"/>
    <w:rsid w:val="00C747CD"/>
    <w:rsid w:val="00CB70E6"/>
    <w:rsid w:val="00CF2B46"/>
    <w:rsid w:val="00D07EE0"/>
    <w:rsid w:val="00D24696"/>
    <w:rsid w:val="00D24D91"/>
    <w:rsid w:val="00E147E7"/>
    <w:rsid w:val="00E43B44"/>
    <w:rsid w:val="00E94F1C"/>
    <w:rsid w:val="00F50D19"/>
    <w:rsid w:val="00F66DBE"/>
    <w:rsid w:val="00F86BA0"/>
    <w:rsid w:val="00FC481E"/>
    <w:rsid w:val="02F61A9D"/>
    <w:rsid w:val="04B542FA"/>
    <w:rsid w:val="0C544A48"/>
    <w:rsid w:val="106053F4"/>
    <w:rsid w:val="13CA20A8"/>
    <w:rsid w:val="14177558"/>
    <w:rsid w:val="16751ADF"/>
    <w:rsid w:val="19A702F1"/>
    <w:rsid w:val="20962BA2"/>
    <w:rsid w:val="21A13007"/>
    <w:rsid w:val="22711EB6"/>
    <w:rsid w:val="28825C85"/>
    <w:rsid w:val="28FD739E"/>
    <w:rsid w:val="2F1876F9"/>
    <w:rsid w:val="3265603B"/>
    <w:rsid w:val="3B7A21F1"/>
    <w:rsid w:val="4BA37DD4"/>
    <w:rsid w:val="4DCC18A5"/>
    <w:rsid w:val="4EC054A4"/>
    <w:rsid w:val="559F7988"/>
    <w:rsid w:val="56D228D0"/>
    <w:rsid w:val="56E118A0"/>
    <w:rsid w:val="583A4639"/>
    <w:rsid w:val="585D34DE"/>
    <w:rsid w:val="5C777188"/>
    <w:rsid w:val="5CBC1ACB"/>
    <w:rsid w:val="5EE2190E"/>
    <w:rsid w:val="62CA19B6"/>
    <w:rsid w:val="676E416E"/>
    <w:rsid w:val="678546CA"/>
    <w:rsid w:val="680A7CF8"/>
    <w:rsid w:val="68680898"/>
    <w:rsid w:val="6AAE5C1D"/>
    <w:rsid w:val="6AE152C4"/>
    <w:rsid w:val="6C396BE7"/>
    <w:rsid w:val="6DDA73A6"/>
    <w:rsid w:val="6F2A04A6"/>
    <w:rsid w:val="724D125D"/>
    <w:rsid w:val="753A48D1"/>
    <w:rsid w:val="7C066305"/>
    <w:rsid w:val="7CC320E9"/>
    <w:rsid w:val="7E970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paragraph" w:styleId="8">
    <w:name w:val="List Paragraph"/>
    <w:basedOn w:val="1"/>
    <w:qFormat/>
    <w:uiPriority w:val="34"/>
    <w:pPr>
      <w:ind w:firstLine="420" w:firstLineChars="200"/>
    </w:pPr>
  </w:style>
  <w:style w:type="paragraph" w:customStyle="1" w:styleId="9">
    <w:name w:val="_Style 4"/>
    <w:basedOn w:val="1"/>
    <w:next w:val="8"/>
    <w:qFormat/>
    <w:uiPriority w:val="34"/>
    <w:pPr>
      <w:ind w:firstLine="420" w:firstLineChars="200"/>
    </w:pPr>
    <w:rPr>
      <w:rFonts w:ascii="Calibri" w:hAnsi="Calibri" w:eastAsia="宋体" w:cs="Times New Roman"/>
    </w:rPr>
  </w:style>
  <w:style w:type="paragraph" w:customStyle="1" w:styleId="1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10015</Words>
  <Characters>10632</Characters>
  <Lines>86</Lines>
  <Paragraphs>24</Paragraphs>
  <TotalTime>1</TotalTime>
  <ScaleCrop>false</ScaleCrop>
  <LinksUpToDate>false</LinksUpToDate>
  <CharactersWithSpaces>10749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2022-03-09T04:38:00Z</dcterms:created>
  <dc:creator>Huawei</dc:creator>
  <cp:lastModifiedBy>Administrator</cp:lastModifiedBy>
  <dcterms:modified xsi:type="dcterms:W3CDTF">2023-09-21T07:46:31Z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BD4A0EE28DE149FDBCA21AA1A4D3550A</vt:lpwstr>
  </property>
</Properties>
</file>